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D60628" w14:textId="77777777" w:rsidR="00AA0A34" w:rsidRDefault="00AA0A34" w:rsidP="00AA0A34"/>
    <w:p w14:paraId="6EB705C5" w14:textId="77777777" w:rsidR="00AA0A34" w:rsidRPr="0059026F" w:rsidRDefault="00AA0A34" w:rsidP="00AA0A34"/>
    <w:p w14:paraId="7E653D37" w14:textId="77777777" w:rsidR="00AA0A34" w:rsidRPr="00381C5F" w:rsidRDefault="00AA0A34" w:rsidP="00AA0A34"/>
    <w:p w14:paraId="0CEA617E" w14:textId="77777777" w:rsidR="00AA0A34" w:rsidRPr="001B13A9" w:rsidRDefault="00AA0A34" w:rsidP="00AA0A34">
      <w:pPr>
        <w:pStyle w:val="Heading1"/>
        <w:tabs>
          <w:tab w:val="left" w:pos="720"/>
        </w:tabs>
        <w:spacing w:before="0"/>
        <w:rPr>
          <w:rFonts w:ascii="Times New Roman" w:hAnsi="Times New Roman" w:cs="Times New Roman"/>
          <w:b/>
          <w:sz w:val="32"/>
          <w:szCs w:val="32"/>
        </w:rPr>
      </w:pPr>
      <w:r w:rsidRPr="001B13A9">
        <w:rPr>
          <w:rFonts w:ascii="Times New Roman" w:hAnsi="Times New Roman" w:cs="Times New Roman"/>
          <w:b/>
          <w:sz w:val="32"/>
          <w:szCs w:val="32"/>
        </w:rPr>
        <w:t xml:space="preserve"> </w:t>
      </w:r>
      <w:r w:rsidRPr="001B13A9">
        <w:rPr>
          <w:rFonts w:ascii="Times New Roman" w:hAnsi="Times New Roman" w:cs="Times New Roman"/>
          <w:b/>
          <w:sz w:val="32"/>
          <w:szCs w:val="32"/>
        </w:rPr>
        <w:tab/>
      </w:r>
      <w:r w:rsidRPr="001B13A9">
        <w:rPr>
          <w:rFonts w:ascii="Times New Roman" w:hAnsi="Times New Roman" w:cs="Times New Roman"/>
          <w:b/>
          <w:sz w:val="32"/>
          <w:szCs w:val="32"/>
        </w:rPr>
        <w:tab/>
      </w:r>
      <w:r w:rsidRPr="001B13A9">
        <w:rPr>
          <w:rFonts w:ascii="Times New Roman" w:hAnsi="Times New Roman" w:cs="Times New Roman"/>
          <w:b/>
          <w:sz w:val="32"/>
          <w:szCs w:val="32"/>
        </w:rPr>
        <w:tab/>
        <w:t xml:space="preserve"> 13.  Climate Change</w:t>
      </w:r>
    </w:p>
    <w:p w14:paraId="16AAD1A7" w14:textId="77777777" w:rsidR="00AA0A34" w:rsidRDefault="00AA0A34" w:rsidP="00AA0A34">
      <w:pPr>
        <w:pStyle w:val="Heading2"/>
        <w:tabs>
          <w:tab w:val="left" w:pos="720"/>
        </w:tabs>
        <w:ind w:right="90"/>
        <w:rPr>
          <w:rFonts w:eastAsia="Times New Roman"/>
          <w:bCs/>
          <w:sz w:val="28"/>
          <w:szCs w:val="28"/>
        </w:rPr>
      </w:pPr>
      <w:bookmarkStart w:id="0" w:name="_Toc62220120"/>
    </w:p>
    <w:p w14:paraId="6AB991FF" w14:textId="6216907D" w:rsidR="00AA0A34" w:rsidRPr="004A6746" w:rsidRDefault="00AA0A34" w:rsidP="004A6746">
      <w:pPr>
        <w:pStyle w:val="Heading2"/>
        <w:tabs>
          <w:tab w:val="left" w:pos="720"/>
        </w:tabs>
        <w:ind w:right="90"/>
        <w:rPr>
          <w:rFonts w:ascii="Times New Roman" w:eastAsia="Times New Roman" w:hAnsi="Times New Roman" w:cs="Times New Roman"/>
          <w:b/>
          <w:sz w:val="28"/>
          <w:szCs w:val="28"/>
        </w:rPr>
      </w:pPr>
      <w:r w:rsidRPr="00420BC9">
        <w:rPr>
          <w:rFonts w:ascii="Times New Roman" w:eastAsia="Times New Roman" w:hAnsi="Times New Roman" w:cs="Times New Roman"/>
          <w:b/>
          <w:sz w:val="28"/>
          <w:szCs w:val="28"/>
        </w:rPr>
        <w:t>The Challenge</w:t>
      </w:r>
      <w:bookmarkEnd w:id="0"/>
    </w:p>
    <w:p w14:paraId="6C22D53A" w14:textId="77777777" w:rsidR="00AA0A34" w:rsidRPr="003B66C3" w:rsidRDefault="00AA0A34" w:rsidP="00AA0A34">
      <w:pPr>
        <w:spacing w:before="100" w:beforeAutospacing="1" w:after="100" w:afterAutospacing="1"/>
        <w:ind w:right="0"/>
        <w:rPr>
          <w:color w:val="000000"/>
        </w:rPr>
      </w:pPr>
      <w:r w:rsidRPr="003B66C3">
        <w:rPr>
          <w:color w:val="000000"/>
        </w:rPr>
        <w:t>Of the three grand challenges facing the human race—nuclear weapons, artificial intelligence and climate change—it might be the last that is most frequently on the minds of the world’s population. Perhaps more pointedly, the three are viewed very differently as threats to social stability. The danger of nuclear weapons, while obvious and starkly frightening, seems to be under control, even if precariously, and it does not dominate the daily headlines. At the opposite pole, the potential risks posed by artificial intelligence have barely begun to penetrate public consciousness. Climate change, in contrast, sits somewhere in a distant and menacing middle. What is at stake is not just about losing the world we grew up in; it’s about the collapse of the very conditions that keep us alive.</w:t>
      </w:r>
    </w:p>
    <w:p w14:paraId="0F5AFA00" w14:textId="77777777" w:rsidR="00AA0A34" w:rsidRDefault="00AA0A34" w:rsidP="00AA0A34">
      <w:pPr>
        <w:tabs>
          <w:tab w:val="left" w:pos="720"/>
        </w:tabs>
        <w:ind w:right="90"/>
        <w:rPr>
          <w:rFonts w:cstheme="minorHAnsi"/>
        </w:rPr>
      </w:pPr>
      <w:r w:rsidRPr="00FE3DA3">
        <w:rPr>
          <w:rFonts w:cstheme="minorHAnsi"/>
        </w:rPr>
        <w:t xml:space="preserve">Few thoughtful people doubt that </w:t>
      </w:r>
      <w:r>
        <w:rPr>
          <w:color w:val="000000"/>
        </w:rPr>
        <w:t>atmospheric greenhouse gases (GHGs) and global temperature are rising.</w:t>
      </w:r>
      <w:r w:rsidRPr="00FE3DA3">
        <w:rPr>
          <w:rFonts w:cstheme="minorHAnsi"/>
        </w:rPr>
        <w:t xml:space="preserve"> Volumes of precise data indicate a strikingly anomalous rise in trace gases during the past 1</w:t>
      </w:r>
      <w:r>
        <w:rPr>
          <w:rFonts w:cstheme="minorHAnsi"/>
        </w:rPr>
        <w:t>25 or so</w:t>
      </w:r>
      <w:r w:rsidRPr="00FE3DA3">
        <w:rPr>
          <w:rFonts w:cstheme="minorHAnsi"/>
        </w:rPr>
        <w:t xml:space="preserve"> years, and with it an ineluctable if erratic increase in temperature</w:t>
      </w:r>
      <w:r>
        <w:rPr>
          <w:rFonts w:cstheme="minorHAnsi"/>
        </w:rPr>
        <w:t xml:space="preserve"> (1)</w:t>
      </w:r>
      <w:r w:rsidRPr="00FE3DA3">
        <w:rPr>
          <w:rFonts w:cstheme="minorHAnsi"/>
        </w:rPr>
        <w:t xml:space="preserve">. </w:t>
      </w:r>
      <w:r>
        <w:rPr>
          <w:rFonts w:cstheme="minorHAnsi"/>
        </w:rPr>
        <w:t>A</w:t>
      </w:r>
      <w:r w:rsidRPr="00FE3DA3">
        <w:rPr>
          <w:rFonts w:cstheme="minorHAnsi"/>
        </w:rPr>
        <w:t>fter some 800</w:t>
      </w:r>
      <w:r>
        <w:rPr>
          <w:rFonts w:cstheme="minorHAnsi"/>
        </w:rPr>
        <w:t>,000</w:t>
      </w:r>
      <w:r w:rsidRPr="00FE3DA3">
        <w:rPr>
          <w:rFonts w:cstheme="minorHAnsi"/>
        </w:rPr>
        <w:t xml:space="preserve"> years of cycling stably between 1</w:t>
      </w:r>
      <w:r>
        <w:rPr>
          <w:rFonts w:cstheme="minorHAnsi"/>
        </w:rPr>
        <w:t>80</w:t>
      </w:r>
      <w:r w:rsidRPr="00FE3DA3">
        <w:rPr>
          <w:rFonts w:cstheme="minorHAnsi"/>
        </w:rPr>
        <w:t xml:space="preserve"> and 280 parts per million (ppm), atmospheric carbon dioxide concentration has jumped </w:t>
      </w:r>
      <w:r>
        <w:rPr>
          <w:rFonts w:cstheme="minorHAnsi"/>
        </w:rPr>
        <w:t>to</w:t>
      </w:r>
      <w:r w:rsidRPr="00FE3DA3">
        <w:rPr>
          <w:rFonts w:cstheme="minorHAnsi"/>
        </w:rPr>
        <w:t xml:space="preserve"> 4</w:t>
      </w:r>
      <w:r>
        <w:rPr>
          <w:rFonts w:cstheme="minorHAnsi"/>
        </w:rPr>
        <w:t xml:space="preserve">20 </w:t>
      </w:r>
      <w:r w:rsidRPr="00FE3DA3">
        <w:rPr>
          <w:rFonts w:cstheme="minorHAnsi"/>
        </w:rPr>
        <w:t>ppm in little more than a centur</w:t>
      </w:r>
      <w:r>
        <w:rPr>
          <w:rFonts w:cstheme="minorHAnsi"/>
        </w:rPr>
        <w:t xml:space="preserve">y </w:t>
      </w:r>
      <w:r w:rsidRPr="0082074F">
        <w:rPr>
          <w:rFonts w:cstheme="minorHAnsi"/>
        </w:rPr>
        <w:t>(2)</w:t>
      </w:r>
      <w:r>
        <w:rPr>
          <w:rFonts w:cstheme="minorHAnsi"/>
        </w:rPr>
        <w:t>.</w:t>
      </w:r>
      <w:r w:rsidRPr="007A3CBA">
        <w:rPr>
          <w:rFonts w:cstheme="minorHAnsi"/>
          <w:b/>
          <w:bCs/>
          <w:sz w:val="28"/>
          <w:szCs w:val="28"/>
        </w:rPr>
        <w:t xml:space="preserve"> </w:t>
      </w:r>
      <w:r w:rsidRPr="00FE3DA3">
        <w:rPr>
          <w:rFonts w:cstheme="minorHAnsi"/>
        </w:rPr>
        <w:t>Other</w:t>
      </w:r>
      <w:r>
        <w:rPr>
          <w:rFonts w:cstheme="minorHAnsi"/>
        </w:rPr>
        <w:t xml:space="preserve"> long</w:t>
      </w:r>
      <w:r w:rsidRPr="00FE3DA3">
        <w:rPr>
          <w:rFonts w:cstheme="minorHAnsi"/>
        </w:rPr>
        <w:t xml:space="preserve"> </w:t>
      </w:r>
      <w:r>
        <w:rPr>
          <w:rFonts w:cstheme="minorHAnsi"/>
        </w:rPr>
        <w:t xml:space="preserve">lived </w:t>
      </w:r>
      <w:r w:rsidRPr="00FE3DA3">
        <w:rPr>
          <w:rFonts w:cstheme="minorHAnsi"/>
        </w:rPr>
        <w:t>GHGs, most notably methane and nitrous oxide, follow similar patterns</w:t>
      </w:r>
      <w:r>
        <w:rPr>
          <w:rFonts w:cstheme="minorHAnsi"/>
        </w:rPr>
        <w:t>—</w:t>
      </w:r>
      <w:r w:rsidRPr="00FE3DA3">
        <w:rPr>
          <w:rFonts w:cstheme="minorHAnsi"/>
        </w:rPr>
        <w:t xml:space="preserve">all breaking with hundreds of thousands of years of history within just 2 centuries of the start of the industrial revolution. </w:t>
      </w:r>
    </w:p>
    <w:p w14:paraId="30358314" w14:textId="77777777" w:rsidR="00AA0A34" w:rsidRDefault="00AA0A34" w:rsidP="00AA0A34">
      <w:pPr>
        <w:tabs>
          <w:tab w:val="left" w:pos="720"/>
        </w:tabs>
        <w:ind w:right="90"/>
        <w:rPr>
          <w:rFonts w:cstheme="minorHAnsi"/>
        </w:rPr>
      </w:pPr>
    </w:p>
    <w:p w14:paraId="0FF26F22" w14:textId="77777777" w:rsidR="00AA0A34" w:rsidRDefault="00AA0A34" w:rsidP="00AA0A34">
      <w:pPr>
        <w:tabs>
          <w:tab w:val="left" w:pos="720"/>
        </w:tabs>
        <w:ind w:right="90"/>
        <w:rPr>
          <w:color w:val="000000"/>
        </w:rPr>
      </w:pPr>
      <w:r>
        <w:rPr>
          <w:color w:val="000000"/>
        </w:rPr>
        <w:t xml:space="preserve">The rise in long-lived GHGs has created an energy imbalance: more solar energy is retained by the Earth system than is radiated back into space </w:t>
      </w:r>
      <w:r w:rsidRPr="0082074F">
        <w:rPr>
          <w:color w:val="000000"/>
        </w:rPr>
        <w:t>(3).</w:t>
      </w:r>
      <w:r>
        <w:rPr>
          <w:color w:val="000000"/>
        </w:rPr>
        <w:t xml:space="preserve"> Recent estimates place the imbalance at roughly 0.7–0.8 W/m² averaged over the planet’s surface. </w:t>
      </w:r>
      <w:r w:rsidRPr="00AB6C30">
        <w:rPr>
          <w:color w:val="000000"/>
        </w:rPr>
        <w:t>That may seem negligible compared with the ~240 W/m² of solar energy absorbed by the Earth system</w:t>
      </w:r>
      <w:r>
        <w:rPr>
          <w:color w:val="000000"/>
        </w:rPr>
        <w:t xml:space="preserve">, but when multiplied by the planet’s surface area (~5 × 10¹⁴ m²), it amounts to roughly 4 × 10¹⁴ watts of excess heating—comparable, in instantaneous power, to several Hiroshima-scale explosions every second. </w:t>
      </w:r>
      <w:r w:rsidRPr="00313EB9">
        <w:rPr>
          <w:color w:val="000000"/>
        </w:rPr>
        <w:t>The comparison is imperfect but illustrative: the imbalance is small per square meter, yet immense when integrated over the planet’s surface.</w:t>
      </w:r>
    </w:p>
    <w:p w14:paraId="629E2F29" w14:textId="77777777" w:rsidR="00AA0A34" w:rsidRDefault="00AA0A34" w:rsidP="00AA0A34">
      <w:pPr>
        <w:tabs>
          <w:tab w:val="left" w:pos="720"/>
        </w:tabs>
        <w:ind w:right="90"/>
        <w:rPr>
          <w:color w:val="000000"/>
        </w:rPr>
      </w:pPr>
    </w:p>
    <w:p w14:paraId="6984207E" w14:textId="77777777" w:rsidR="00AA0A34" w:rsidRDefault="00AA0A34" w:rsidP="00AA0A34">
      <w:pPr>
        <w:tabs>
          <w:tab w:val="left" w:pos="720"/>
        </w:tabs>
        <w:ind w:right="90"/>
        <w:rPr>
          <w:color w:val="000000"/>
        </w:rPr>
      </w:pPr>
      <w:r w:rsidRPr="00313EB9">
        <w:rPr>
          <w:color w:val="000000"/>
        </w:rPr>
        <w:t>The mean global temperature has been slow to respond since about 90</w:t>
      </w:r>
      <w:r w:rsidRPr="00FE3DA3">
        <w:rPr>
          <w:rFonts w:cstheme="minorHAnsi"/>
        </w:rPr>
        <w:t>% of the heat is absorbed by the ocean. To date</w:t>
      </w:r>
      <w:r>
        <w:rPr>
          <w:rFonts w:cstheme="minorHAnsi"/>
        </w:rPr>
        <w:t>,</w:t>
      </w:r>
      <w:r w:rsidRPr="00FE3DA3">
        <w:rPr>
          <w:rFonts w:cstheme="minorHAnsi"/>
        </w:rPr>
        <w:t xml:space="preserve"> </w:t>
      </w:r>
      <w:r>
        <w:rPr>
          <w:color w:val="000000"/>
        </w:rPr>
        <w:t xml:space="preserve">global mean surface temperature has risen by approximately 1.1–1.2°C above the 1850–1900 average. Even if greenhouse gas concentrations were stabilized today, additional warming is already in the pipeline because the climate system has not yet equilibrated. </w:t>
      </w:r>
    </w:p>
    <w:p w14:paraId="0CDF717F" w14:textId="77777777" w:rsidR="00AA0A34" w:rsidRPr="00313EB9" w:rsidRDefault="00AA0A34" w:rsidP="00AA0A34">
      <w:pPr>
        <w:tabs>
          <w:tab w:val="left" w:pos="720"/>
        </w:tabs>
        <w:ind w:right="90"/>
        <w:rPr>
          <w:rFonts w:cstheme="minorHAnsi"/>
        </w:rPr>
      </w:pPr>
    </w:p>
    <w:p w14:paraId="7311C1F1" w14:textId="77777777" w:rsidR="00AA0A34" w:rsidRDefault="00AA0A34" w:rsidP="00AA0A34">
      <w:pPr>
        <w:tabs>
          <w:tab w:val="left" w:pos="720"/>
        </w:tabs>
        <w:ind w:right="90"/>
        <w:rPr>
          <w:color w:val="000000"/>
        </w:rPr>
      </w:pPr>
      <w:r w:rsidRPr="00313EB9">
        <w:rPr>
          <w:rFonts w:cstheme="minorHAnsi"/>
        </w:rPr>
        <w:t>How much warming is already committed? Climate sensitivity—the equilibrium temperature change per unit radiative forcing</w:t>
      </w:r>
      <w:r>
        <w:rPr>
          <w:rFonts w:cstheme="minorHAnsi"/>
        </w:rPr>
        <w:t xml:space="preserve"> </w:t>
      </w:r>
      <w:r w:rsidRPr="0082074F">
        <w:rPr>
          <w:rFonts w:cstheme="minorHAnsi"/>
          <w:color w:val="000000" w:themeColor="text1"/>
        </w:rPr>
        <w:t>(4 )—</w:t>
      </w:r>
      <w:r w:rsidRPr="00313EB9">
        <w:rPr>
          <w:rFonts w:cstheme="minorHAnsi"/>
        </w:rPr>
        <w:t xml:space="preserve">is commonly approximated at about 0.8 °C per W/m². With an imbalance near 0.75 W/m², equilibrium would require roughly 0.6°C of additional </w:t>
      </w:r>
      <w:r w:rsidRPr="00313EB9">
        <w:rPr>
          <w:rFonts w:cstheme="minorHAnsi"/>
        </w:rPr>
        <w:lastRenderedPageBreak/>
        <w:t>warming</w:t>
      </w:r>
      <w:r>
        <w:rPr>
          <w:color w:val="000000"/>
        </w:rPr>
        <w:t xml:space="preserve"> beyond what has already occurred. In other words, further warming is unavoidable even under immediate stabilization. </w:t>
      </w:r>
    </w:p>
    <w:p w14:paraId="0B4A2C38" w14:textId="77777777" w:rsidR="00AA0A34" w:rsidRDefault="00AA0A34" w:rsidP="00AA0A34">
      <w:pPr>
        <w:tabs>
          <w:tab w:val="left" w:pos="720"/>
        </w:tabs>
        <w:ind w:right="90"/>
        <w:rPr>
          <w:color w:val="000000"/>
        </w:rPr>
      </w:pPr>
    </w:p>
    <w:p w14:paraId="378F28F3" w14:textId="77777777" w:rsidR="00AA0A34" w:rsidRPr="00894B06" w:rsidRDefault="00AA0A34" w:rsidP="00AA0A34">
      <w:pPr>
        <w:tabs>
          <w:tab w:val="left" w:pos="720"/>
        </w:tabs>
        <w:ind w:right="90"/>
        <w:rPr>
          <w:rFonts w:cstheme="minorHAnsi"/>
        </w:rPr>
      </w:pPr>
      <w:r w:rsidRPr="00894B06">
        <w:rPr>
          <w:rFonts w:cstheme="minorHAnsi"/>
        </w:rPr>
        <w:t>For all practical purposes, achieving the ambitious goal of limiting warming to 1.5°C without overshoot is now extremely unlikely. Yet greenhouse gas concentrations will, for a time at least, continue to increase, forcing a continued rise in energy imbalance.</w:t>
      </w:r>
      <w:r>
        <w:rPr>
          <w:rFonts w:cstheme="minorHAnsi"/>
        </w:rPr>
        <w:t xml:space="preserve"> </w:t>
      </w:r>
    </w:p>
    <w:p w14:paraId="0A22CC7F" w14:textId="77777777" w:rsidR="00AA0A34" w:rsidRPr="00122DFB" w:rsidRDefault="00AA0A34" w:rsidP="00AA0A34">
      <w:pPr>
        <w:pStyle w:val="NormalWeb"/>
        <w:rPr>
          <w:color w:val="000000"/>
        </w:rPr>
      </w:pPr>
      <w:r w:rsidRPr="003A3615">
        <w:rPr>
          <w:rFonts w:cstheme="minorHAnsi"/>
        </w:rPr>
        <w:t xml:space="preserve">The abrupt post-industrial increase in temperature, and the simultaneous increase in anthropogenic greenhouse gas emissions, </w:t>
      </w:r>
      <w:r>
        <w:rPr>
          <w:rFonts w:cstheme="minorHAnsi"/>
        </w:rPr>
        <w:t>suggests</w:t>
      </w:r>
      <w:r w:rsidRPr="003A3615">
        <w:rPr>
          <w:rFonts w:cstheme="minorHAnsi"/>
        </w:rPr>
        <w:t xml:space="preserve"> that human activity</w:t>
      </w:r>
      <w:r w:rsidRPr="00894B06">
        <w:rPr>
          <w:rFonts w:cstheme="minorHAnsi"/>
        </w:rPr>
        <w:t xml:space="preserve"> is the dominant driver of global warming</w:t>
      </w:r>
      <w:r>
        <w:rPr>
          <w:rFonts w:cstheme="minorHAnsi"/>
        </w:rPr>
        <w:t>,</w:t>
      </w:r>
      <w:r w:rsidRPr="003A3615">
        <w:rPr>
          <w:rFonts w:cstheme="minorHAnsi"/>
        </w:rPr>
        <w:t xml:space="preserve"> as do modeling studies and climate proxy data. In addition, </w:t>
      </w:r>
      <w:r>
        <w:rPr>
          <w:rFonts w:cstheme="minorHAnsi"/>
        </w:rPr>
        <w:t>an abundance of different kinds of isotopic data all</w:t>
      </w:r>
      <w:r w:rsidRPr="003A3615">
        <w:rPr>
          <w:rFonts w:cstheme="minorHAnsi"/>
        </w:rPr>
        <w:t xml:space="preserve"> </w:t>
      </w:r>
      <w:r>
        <w:rPr>
          <w:rFonts w:cstheme="minorHAnsi"/>
        </w:rPr>
        <w:t xml:space="preserve">indicate that </w:t>
      </w:r>
      <w:r w:rsidRPr="003A3615">
        <w:rPr>
          <w:rFonts w:cstheme="minorHAnsi"/>
        </w:rPr>
        <w:t>fossil</w:t>
      </w:r>
      <w:r>
        <w:rPr>
          <w:rFonts w:cstheme="minorHAnsi"/>
        </w:rPr>
        <w:t xml:space="preserve"> fuel combustion</w:t>
      </w:r>
      <w:r>
        <w:rPr>
          <w:color w:val="000000"/>
        </w:rPr>
        <w:t>—not natural geochemical cycling—is the dominant driver.</w:t>
      </w:r>
      <w:r>
        <w:rPr>
          <w:rFonts w:cstheme="minorHAnsi"/>
        </w:rPr>
        <w:t xml:space="preserve"> [con</w:t>
      </w:r>
    </w:p>
    <w:p w14:paraId="740BCBEC" w14:textId="77777777" w:rsidR="00AA0A34" w:rsidRDefault="00AA0A34" w:rsidP="00AA0A34">
      <w:pPr>
        <w:pStyle w:val="NormalWeb"/>
        <w:shd w:val="clear" w:color="auto" w:fill="FFFFFF"/>
        <w:tabs>
          <w:tab w:val="left" w:pos="720"/>
        </w:tabs>
        <w:ind w:right="90"/>
        <w:rPr>
          <w:rFonts w:cstheme="minorHAnsi"/>
        </w:rPr>
      </w:pPr>
      <w:r>
        <w:rPr>
          <w:rFonts w:cstheme="minorHAnsi"/>
        </w:rPr>
        <w:t>The consequences of these changes in the planetary system are all too apparent. They include</w:t>
      </w:r>
      <w:r w:rsidRPr="00FE3DA3">
        <w:rPr>
          <w:rFonts w:cstheme="minorHAnsi"/>
        </w:rPr>
        <w:t xml:space="preserve"> ecological disruption and the displacement of habitats</w:t>
      </w:r>
      <w:r>
        <w:rPr>
          <w:rFonts w:cstheme="minorHAnsi"/>
        </w:rPr>
        <w:t>;</w:t>
      </w:r>
      <w:r w:rsidRPr="00FE3DA3">
        <w:rPr>
          <w:rFonts w:cstheme="minorHAnsi"/>
        </w:rPr>
        <w:t xml:space="preserve"> </w:t>
      </w:r>
      <w:r>
        <w:rPr>
          <w:rFonts w:cstheme="minorHAnsi"/>
        </w:rPr>
        <w:t xml:space="preserve">a </w:t>
      </w:r>
      <w:r w:rsidRPr="00FE3DA3">
        <w:rPr>
          <w:rFonts w:cstheme="minorHAnsi"/>
        </w:rPr>
        <w:t>rapid increase in human migration</w:t>
      </w:r>
      <w:r>
        <w:rPr>
          <w:rFonts w:cstheme="minorHAnsi"/>
        </w:rPr>
        <w:t>,</w:t>
      </w:r>
      <w:r w:rsidRPr="00FE3DA3">
        <w:rPr>
          <w:rFonts w:cstheme="minorHAnsi"/>
        </w:rPr>
        <w:t xml:space="preserve"> as land and homes are destroyed</w:t>
      </w:r>
      <w:r>
        <w:rPr>
          <w:rFonts w:cstheme="minorHAnsi"/>
        </w:rPr>
        <w:t>;</w:t>
      </w:r>
      <w:r w:rsidRPr="00FE3DA3">
        <w:rPr>
          <w:rFonts w:cstheme="minorHAnsi"/>
        </w:rPr>
        <w:t xml:space="preserve"> </w:t>
      </w:r>
      <w:r>
        <w:rPr>
          <w:rFonts w:cstheme="minorHAnsi"/>
        </w:rPr>
        <w:t xml:space="preserve">an </w:t>
      </w:r>
      <w:r w:rsidRPr="00FE3DA3">
        <w:rPr>
          <w:rFonts w:cstheme="minorHAnsi"/>
        </w:rPr>
        <w:t>accelerated loss of ice sheets in Greenland and Antarctica</w:t>
      </w:r>
      <w:r>
        <w:rPr>
          <w:rFonts w:cstheme="minorHAnsi"/>
        </w:rPr>
        <w:t>;</w:t>
      </w:r>
      <w:r w:rsidRPr="00FE3DA3">
        <w:rPr>
          <w:rFonts w:cstheme="minorHAnsi"/>
        </w:rPr>
        <w:t xml:space="preserve"> and an increase in </w:t>
      </w:r>
      <w:r>
        <w:rPr>
          <w:rFonts w:cstheme="minorHAnsi"/>
        </w:rPr>
        <w:t xml:space="preserve">the intensity of certain </w:t>
      </w:r>
      <w:r w:rsidRPr="00FE3DA3">
        <w:rPr>
          <w:rFonts w:cstheme="minorHAnsi"/>
        </w:rPr>
        <w:t xml:space="preserve">extreme weather events </w:t>
      </w:r>
      <w:r>
        <w:rPr>
          <w:rFonts w:cstheme="minorHAnsi"/>
        </w:rPr>
        <w:t>such as the record-breaking wildfires that have recently ravaged California—</w:t>
      </w:r>
      <w:r w:rsidRPr="00FE3DA3">
        <w:rPr>
          <w:rFonts w:cstheme="minorHAnsi"/>
        </w:rPr>
        <w:t xml:space="preserve">to mention just a few. </w:t>
      </w:r>
    </w:p>
    <w:p w14:paraId="039B07E3" w14:textId="77777777" w:rsidR="00AA0A34" w:rsidRPr="00A46317" w:rsidRDefault="00AA0A34" w:rsidP="00AA0A34">
      <w:pPr>
        <w:tabs>
          <w:tab w:val="left" w:pos="720"/>
        </w:tabs>
        <w:ind w:right="90"/>
        <w:rPr>
          <w:rFonts w:cstheme="minorHAnsi"/>
        </w:rPr>
      </w:pPr>
      <w:r>
        <w:rPr>
          <w:rFonts w:cstheme="minorHAnsi"/>
        </w:rPr>
        <w:t xml:space="preserve">Perhaps the greatest long-term risk to sustained economic and social stability </w:t>
      </w:r>
      <w:r w:rsidRPr="00FE3DA3">
        <w:rPr>
          <w:rFonts w:cstheme="minorHAnsi"/>
        </w:rPr>
        <w:t xml:space="preserve">is </w:t>
      </w:r>
      <w:r>
        <w:rPr>
          <w:rFonts w:cstheme="minorHAnsi"/>
        </w:rPr>
        <w:t xml:space="preserve">rising </w:t>
      </w:r>
      <w:r w:rsidRPr="00FE3DA3">
        <w:rPr>
          <w:rFonts w:cstheme="minorHAnsi"/>
        </w:rPr>
        <w:t xml:space="preserve">sea level. </w:t>
      </w:r>
      <w:r>
        <w:rPr>
          <w:color w:val="000000"/>
        </w:rPr>
        <w:t>Roughly half of the observed rise to date is attributable to thermal expansion</w:t>
      </w:r>
      <w:r>
        <w:rPr>
          <w:rFonts w:cstheme="minorHAnsi"/>
        </w:rPr>
        <w:t>—</w:t>
      </w:r>
      <w:r w:rsidRPr="00FE3DA3">
        <w:rPr>
          <w:rFonts w:cstheme="minorHAnsi"/>
        </w:rPr>
        <w:t>not surprising considering th</w:t>
      </w:r>
      <w:r>
        <w:rPr>
          <w:rFonts w:cstheme="minorHAnsi"/>
        </w:rPr>
        <w:t>at 90% of the excess heat is absorbed by the ocean.</w:t>
      </w:r>
      <w:r w:rsidRPr="00FE3DA3">
        <w:rPr>
          <w:rFonts w:cstheme="minorHAnsi"/>
        </w:rPr>
        <w:t xml:space="preserve"> The </w:t>
      </w:r>
      <w:r>
        <w:rPr>
          <w:rFonts w:cstheme="minorHAnsi"/>
        </w:rPr>
        <w:t>remainder comes from</w:t>
      </w:r>
      <w:r w:rsidRPr="00FE3DA3">
        <w:rPr>
          <w:rFonts w:cstheme="minorHAnsi"/>
        </w:rPr>
        <w:t xml:space="preserve"> ice sheet and glacier </w:t>
      </w:r>
      <w:r>
        <w:rPr>
          <w:rFonts w:cstheme="minorHAnsi"/>
        </w:rPr>
        <w:t xml:space="preserve">ablation. In fact, </w:t>
      </w:r>
      <w:r w:rsidRPr="00A46317">
        <w:rPr>
          <w:rFonts w:cstheme="minorHAnsi"/>
        </w:rPr>
        <w:t xml:space="preserve">the most significant contributor to long-term sea-level rise is the response of the planet’s large ice sheets. </w:t>
      </w:r>
    </w:p>
    <w:p w14:paraId="6D8A3959" w14:textId="77777777" w:rsidR="00AA0A34" w:rsidRDefault="00AA0A34" w:rsidP="00AA0A34">
      <w:pPr>
        <w:tabs>
          <w:tab w:val="left" w:pos="720"/>
        </w:tabs>
        <w:ind w:right="90"/>
        <w:rPr>
          <w:rFonts w:ascii="-webkit-standard" w:hAnsi="-webkit-standard"/>
          <w:color w:val="000000"/>
          <w:sz w:val="27"/>
          <w:szCs w:val="27"/>
        </w:rPr>
      </w:pPr>
    </w:p>
    <w:p w14:paraId="6AC6F9C6" w14:textId="77777777" w:rsidR="00AA0A34" w:rsidRDefault="00AA0A34" w:rsidP="00AA0A34">
      <w:pPr>
        <w:tabs>
          <w:tab w:val="left" w:pos="720"/>
        </w:tabs>
        <w:ind w:right="90"/>
        <w:rPr>
          <w:color w:val="000000"/>
        </w:rPr>
      </w:pPr>
      <w:r>
        <w:rPr>
          <w:color w:val="000000"/>
        </w:rPr>
        <w:t xml:space="preserve">Most of the planet’s land ice resides in Greenland and Antarctica. Greenland alone contains enough ice to raise the global sea level by about 7 meters. Since the 1980s its annual mass loss has increased several-fold, and it is now losing ice faster than snowfall can replenish it. As reflective ice gives way to darker water and exposed land, local albedo declines, reinforcing warming—a positive feedback that accelerates melt. While complete loss would require millennia, the system exhibits thresholds beyond which retreat becomes self-sustaining </w:t>
      </w:r>
      <w:r w:rsidRPr="0082074F">
        <w:rPr>
          <w:color w:val="000000"/>
        </w:rPr>
        <w:t>(5).</w:t>
      </w:r>
    </w:p>
    <w:p w14:paraId="6E69173D" w14:textId="77777777" w:rsidR="00AA0A34" w:rsidRDefault="00AA0A34" w:rsidP="00AA0A34">
      <w:pPr>
        <w:pStyle w:val="NormalWeb"/>
        <w:rPr>
          <w:color w:val="000000"/>
        </w:rPr>
      </w:pPr>
      <w:r>
        <w:rPr>
          <w:color w:val="000000"/>
        </w:rPr>
        <w:t xml:space="preserve">In Antarctica, the West Antarctic Ice Sheet (WAIS) is of particular concern. It holds enough ice to raise sea level by about 3.3 meters. Because much of its base rests below sea level on a retrograde slope, it is vulnerable to marine ice sheet instability </w:t>
      </w:r>
      <w:r w:rsidRPr="0082074F">
        <w:rPr>
          <w:color w:val="000000"/>
        </w:rPr>
        <w:t>(3).</w:t>
      </w:r>
      <w:r>
        <w:rPr>
          <w:color w:val="000000"/>
        </w:rPr>
        <w:t xml:space="preserve"> Thwaites and Pine Island glaciers are thinning and retreating, and their buttressing ice shelves are weakening. Paleoclimate evidence suggests that the WAIS collapsed during past interglacial periods. While full disintegration would likely unfold over centuries, several studies identify temperature thresholds—perhaps between 1.5°C and 2°C above preindustrial levels—beyond which retreat becomes effectively irreversible.</w:t>
      </w:r>
    </w:p>
    <w:p w14:paraId="50AD782B" w14:textId="77777777" w:rsidR="00AA0A34" w:rsidRDefault="00AA0A34" w:rsidP="00AA0A34">
      <w:pPr>
        <w:pStyle w:val="NormalWeb"/>
        <w:rPr>
          <w:color w:val="000000"/>
        </w:rPr>
      </w:pPr>
      <w:r>
        <w:rPr>
          <w:color w:val="000000"/>
        </w:rPr>
        <w:t xml:space="preserve">The East Antarctic Ice Sheet, which contains far more ice overall (~57 meters of sea level equivalent), remains comparatively stable, though certain basins such as Wilkes Land show increased ice mass loss on the order of tens of gigatons of ice per year. Projections suggest that by 2100 global mean sea level may rise approximately 0.5 to 1 meter relative to preindustrial </w:t>
      </w:r>
      <w:r>
        <w:rPr>
          <w:color w:val="000000"/>
        </w:rPr>
        <w:lastRenderedPageBreak/>
        <w:t xml:space="preserve">levels, depending on emissions pathways. Given that the observed rise since 1900 is only about 0.2–0.25 meters, the acceleration is dramatic. </w:t>
      </w:r>
    </w:p>
    <w:p w14:paraId="29E7F0F3" w14:textId="77777777" w:rsidR="00AA0A34" w:rsidRPr="003117CD" w:rsidRDefault="00AA0A34" w:rsidP="00AA0A34">
      <w:pPr>
        <w:pStyle w:val="NormalWeb"/>
        <w:rPr>
          <w:color w:val="000000"/>
        </w:rPr>
      </w:pPr>
      <w:r w:rsidRPr="003117CD">
        <w:rPr>
          <w:color w:val="000000"/>
        </w:rPr>
        <w:t>Beyond the dynamics of ice sheets, additional feedbacks within the terrestrial carbon cycle</w:t>
      </w:r>
      <w:r>
        <w:rPr>
          <w:color w:val="000000"/>
        </w:rPr>
        <w:t xml:space="preserve"> such as permafrost thaw </w:t>
      </w:r>
      <w:r w:rsidRPr="003117CD">
        <w:rPr>
          <w:color w:val="000000"/>
        </w:rPr>
        <w:t>also have the potential to accelerate warming</w:t>
      </w:r>
      <w:r>
        <w:rPr>
          <w:color w:val="000000"/>
        </w:rPr>
        <w:t xml:space="preserve"> (6). Northern permafrost regions contain on the order of 1,500 gigatons of carbon (GtC) </w:t>
      </w:r>
      <w:r w:rsidRPr="00E425F9">
        <w:rPr>
          <w:color w:val="000000"/>
        </w:rPr>
        <w:t>(7).</w:t>
      </w:r>
      <w:r w:rsidRPr="00156787">
        <w:rPr>
          <w:b/>
          <w:bCs/>
          <w:color w:val="000000"/>
        </w:rPr>
        <w:t xml:space="preserve"> </w:t>
      </w:r>
      <w:r>
        <w:rPr>
          <w:color w:val="000000"/>
        </w:rPr>
        <w:t xml:space="preserve">Current projections suggest that 100–200 GtC could be released by 2100 under high-emissions scenarios  For perspective, the total weight human carbon emitted since the Industrial Revolution is roughly 700 GtC. Methane released from thawing soils is particularly potent, with a 20-year global warming potential </w:t>
      </w:r>
      <w:r w:rsidRPr="00E425F9">
        <w:rPr>
          <w:color w:val="000000" w:themeColor="text1"/>
        </w:rPr>
        <w:t>(8)</w:t>
      </w:r>
      <w:r w:rsidRPr="00E425F9">
        <w:rPr>
          <w:b/>
          <w:bCs/>
          <w:color w:val="000000" w:themeColor="text1"/>
        </w:rPr>
        <w:t xml:space="preserve"> </w:t>
      </w:r>
      <w:r>
        <w:rPr>
          <w:color w:val="000000"/>
        </w:rPr>
        <w:t xml:space="preserve">approximately 80 times that of CO₂. </w:t>
      </w:r>
      <w:r w:rsidRPr="003117CD">
        <w:rPr>
          <w:color w:val="000000"/>
        </w:rPr>
        <w:t>Th</w:t>
      </w:r>
      <w:r>
        <w:rPr>
          <w:color w:val="000000"/>
        </w:rPr>
        <w:t>at</w:t>
      </w:r>
      <w:r w:rsidRPr="003117CD">
        <w:rPr>
          <w:color w:val="000000"/>
        </w:rPr>
        <w:t xml:space="preserve"> creates another positive feedback: as temperatures rise, more carbon is released from thawing soils, which in turn drives further warming.</w:t>
      </w:r>
    </w:p>
    <w:p w14:paraId="42136043" w14:textId="73E46A9B" w:rsidR="00AA0A34" w:rsidRPr="003E1F64" w:rsidRDefault="004A6746" w:rsidP="00AA0A34">
      <w:pPr>
        <w:pStyle w:val="NormalWeb"/>
        <w:tabs>
          <w:tab w:val="left" w:pos="720"/>
        </w:tabs>
        <w:rPr>
          <w:sz w:val="18"/>
          <w:szCs w:val="18"/>
        </w:rPr>
      </w:pPr>
      <w:r>
        <w:rPr>
          <w:noProof/>
        </w:rPr>
        <w:drawing>
          <wp:anchor distT="0" distB="0" distL="114300" distR="114300" simplePos="0" relativeHeight="251659264" behindDoc="0" locked="0" layoutInCell="1" allowOverlap="1" wp14:anchorId="511E3F2F" wp14:editId="49E09AAF">
            <wp:simplePos x="0" y="0"/>
            <wp:positionH relativeFrom="page">
              <wp:posOffset>1816100</wp:posOffset>
            </wp:positionH>
            <wp:positionV relativeFrom="page">
              <wp:posOffset>3223281</wp:posOffset>
            </wp:positionV>
            <wp:extent cx="3658870" cy="2438400"/>
            <wp:effectExtent l="0" t="0" r="0" b="0"/>
            <wp:wrapNone/>
            <wp:docPr id="83" name="imagerId50" descr="A group of people posing for a photo&#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rId50" descr="A group of people posing for a photo&#10;&#10;AI-generated content may be incorrect."/>
                    <pic:cNvPicPr>
                      <a:picLocks/>
                    </pic:cNvPicPr>
                  </pic:nvPicPr>
                  <pic:blipFill>
                    <a:blip r:embed="rId4">
                      <a:alphaModFix amt="91000"/>
                      <a:extLst>
                        <a:ext uri="{BEBA8EAE-BF5A-486C-A8C5-ECC9F3942E4B}">
                          <a14:imgProps xmlns:a14="http://schemas.microsoft.com/office/drawing/2010/main">
                            <a14:imgLayer r:embed="rId5">
                              <a14:imgEffect>
                                <a14:colorTemperature colorTemp="6663"/>
                              </a14:imgEffect>
                              <a14:imgEffect>
                                <a14:saturation sat="171000"/>
                              </a14:imgEffect>
                              <a14:imgEffect>
                                <a14:brightnessContrast bright="24000" contrast="4000"/>
                              </a14:imgEffect>
                            </a14:imgLayer>
                          </a14:imgProps>
                        </a:ext>
                        <a:ext uri="{28A0092B-C50C-407E-A947-70E740481C1C}">
                          <a14:useLocalDpi xmlns:a14="http://schemas.microsoft.com/office/drawing/2010/main" val="0"/>
                        </a:ext>
                      </a:extLst>
                    </a:blip>
                    <a:srcRect/>
                    <a:stretch>
                      <a:fillRect/>
                    </a:stretch>
                  </pic:blipFill>
                  <pic:spPr bwMode="auto">
                    <a:xfrm>
                      <a:off x="0" y="0"/>
                      <a:ext cx="3658870" cy="2438400"/>
                    </a:xfrm>
                    <a:prstGeom prst="rect">
                      <a:avLst/>
                    </a:prstGeom>
                    <a:noFill/>
                  </pic:spPr>
                </pic:pic>
              </a:graphicData>
            </a:graphic>
            <wp14:sizeRelH relativeFrom="page">
              <wp14:pctWidth>0</wp14:pctWidth>
            </wp14:sizeRelH>
            <wp14:sizeRelV relativeFrom="page">
              <wp14:pctHeight>0</wp14:pctHeight>
            </wp14:sizeRelV>
          </wp:anchor>
        </w:drawing>
      </w:r>
    </w:p>
    <w:p w14:paraId="7C60B6D7" w14:textId="5AC44FAB" w:rsidR="00AA0A34" w:rsidRDefault="00AA0A34" w:rsidP="00AA0A34">
      <w:pPr>
        <w:pStyle w:val="NormalWeb"/>
        <w:rPr>
          <w:color w:val="000000"/>
        </w:rPr>
      </w:pPr>
    </w:p>
    <w:p w14:paraId="25534168" w14:textId="489E16FB" w:rsidR="00AA0A34" w:rsidRDefault="00AA0A34" w:rsidP="00AA0A34">
      <w:pPr>
        <w:pStyle w:val="NormalWeb"/>
        <w:rPr>
          <w:color w:val="000000"/>
        </w:rPr>
      </w:pPr>
    </w:p>
    <w:p w14:paraId="0600EA75" w14:textId="5EB40C03" w:rsidR="00AA0A34" w:rsidRDefault="00AA0A34" w:rsidP="00AA0A34">
      <w:pPr>
        <w:pStyle w:val="NormalWeb"/>
        <w:rPr>
          <w:color w:val="000000"/>
        </w:rPr>
      </w:pPr>
    </w:p>
    <w:p w14:paraId="6C2F3C67" w14:textId="30684CDE" w:rsidR="00AA0A34" w:rsidRDefault="00AA0A34" w:rsidP="00AA0A34">
      <w:pPr>
        <w:pStyle w:val="NormalWeb"/>
        <w:rPr>
          <w:color w:val="000000"/>
        </w:rPr>
      </w:pPr>
    </w:p>
    <w:p w14:paraId="6B2D3A92" w14:textId="5C895A3B" w:rsidR="00AA0A34" w:rsidRDefault="00AA0A34" w:rsidP="00AA0A34">
      <w:pPr>
        <w:pStyle w:val="NormalWeb"/>
        <w:rPr>
          <w:color w:val="000000"/>
        </w:rPr>
      </w:pPr>
    </w:p>
    <w:p w14:paraId="412CD652" w14:textId="255985CA" w:rsidR="00AA0A34" w:rsidRDefault="00AA0A34" w:rsidP="00AA0A34">
      <w:pPr>
        <w:pStyle w:val="NormalWeb"/>
        <w:rPr>
          <w:sz w:val="18"/>
          <w:szCs w:val="18"/>
        </w:rPr>
      </w:pPr>
    </w:p>
    <w:p w14:paraId="7026D530" w14:textId="77777777" w:rsidR="00AA0A34" w:rsidRDefault="00AA0A34" w:rsidP="00AA0A34">
      <w:pPr>
        <w:pStyle w:val="NormalWeb"/>
        <w:rPr>
          <w:i/>
          <w:iCs/>
          <w:sz w:val="22"/>
          <w:szCs w:val="22"/>
        </w:rPr>
      </w:pPr>
    </w:p>
    <w:p w14:paraId="1CCD84A1" w14:textId="77777777" w:rsidR="00AA0A34" w:rsidRPr="00A60F7A" w:rsidRDefault="00AA0A34" w:rsidP="00AA0A34">
      <w:pPr>
        <w:pStyle w:val="NormalWeb"/>
        <w:rPr>
          <w:i/>
          <w:iCs/>
          <w:color w:val="000000"/>
          <w:sz w:val="22"/>
          <w:szCs w:val="22"/>
        </w:rPr>
      </w:pPr>
      <w:r w:rsidRPr="00A60F7A">
        <w:rPr>
          <w:i/>
          <w:iCs/>
          <w:sz w:val="22"/>
          <w:szCs w:val="22"/>
        </w:rPr>
        <w:t>Patagonia, 2013. Noreen, me, Charles Cantor and his partner, Nancy Kramer. The famous Perito Moreno Glacier is low against the Mountains and barely visible in the background. The Patagonian glaciers are fairly stable.</w:t>
      </w:r>
    </w:p>
    <w:p w14:paraId="1365E770" w14:textId="77777777" w:rsidR="00AA0A34" w:rsidRPr="00096301" w:rsidRDefault="00AA0A34" w:rsidP="00AA0A34">
      <w:pPr>
        <w:pStyle w:val="NormalWeb"/>
        <w:tabs>
          <w:tab w:val="left" w:pos="720"/>
        </w:tabs>
        <w:ind w:right="90"/>
        <w:rPr>
          <w:b/>
          <w:bCs/>
          <w:color w:val="000000" w:themeColor="text1"/>
          <w:sz w:val="28"/>
          <w:szCs w:val="28"/>
        </w:rPr>
      </w:pPr>
      <w:r w:rsidRPr="00260856">
        <w:rPr>
          <w:b/>
          <w:bCs/>
          <w:color w:val="000000" w:themeColor="text1"/>
          <w:sz w:val="28"/>
          <w:szCs w:val="28"/>
        </w:rPr>
        <w:t>Something Can be Done About it</w:t>
      </w:r>
      <w:r>
        <w:rPr>
          <w:b/>
          <w:bCs/>
          <w:color w:val="000000" w:themeColor="text1"/>
          <w:sz w:val="28"/>
          <w:szCs w:val="28"/>
        </w:rPr>
        <w:t>—But Only If It's Anthropogenically Driven</w:t>
      </w:r>
    </w:p>
    <w:p w14:paraId="476C6A16" w14:textId="77777777" w:rsidR="00AA0A34" w:rsidRPr="00FE3DA3" w:rsidRDefault="00AA0A34" w:rsidP="00AA0A34">
      <w:pPr>
        <w:pStyle w:val="NormalWeb"/>
        <w:shd w:val="clear" w:color="auto" w:fill="FFFFFF"/>
        <w:tabs>
          <w:tab w:val="left" w:pos="720"/>
        </w:tabs>
        <w:ind w:right="90"/>
        <w:rPr>
          <w:rFonts w:cstheme="minorHAnsi"/>
        </w:rPr>
      </w:pPr>
      <w:r>
        <w:rPr>
          <w:rFonts w:cstheme="minorHAnsi"/>
        </w:rPr>
        <w:t>W</w:t>
      </w:r>
      <w:r w:rsidRPr="00FE3DA3">
        <w:rPr>
          <w:rFonts w:cstheme="minorHAnsi"/>
        </w:rPr>
        <w:t>e might in fact take some consolation in the idea that human activity is the primary driver of climate change–difficult though it is to accept culpability for such havoc</w:t>
      </w:r>
      <w:r>
        <w:rPr>
          <w:rFonts w:cstheme="minorHAnsi"/>
        </w:rPr>
        <w:t>—</w:t>
      </w:r>
      <w:r w:rsidRPr="00FE3DA3">
        <w:rPr>
          <w:rFonts w:cstheme="minorHAnsi"/>
        </w:rPr>
        <w:t>because if we’re not the cause; if</w:t>
      </w:r>
      <w:r>
        <w:rPr>
          <w:rFonts w:cstheme="minorHAnsi"/>
        </w:rPr>
        <w:t xml:space="preserve"> </w:t>
      </w:r>
      <w:r w:rsidRPr="00FE3DA3">
        <w:rPr>
          <w:rFonts w:cstheme="minorHAnsi"/>
        </w:rPr>
        <w:t xml:space="preserve">change </w:t>
      </w:r>
      <w:r>
        <w:rPr>
          <w:rFonts w:cstheme="minorHAnsi"/>
        </w:rPr>
        <w:t>is</w:t>
      </w:r>
      <w:r w:rsidRPr="00FE3DA3">
        <w:rPr>
          <w:rFonts w:cstheme="minorHAnsi"/>
        </w:rPr>
        <w:t xml:space="preserve"> the result of some unknown or unidentified natural process, we could do little more than watch the</w:t>
      </w:r>
      <w:r>
        <w:rPr>
          <w:rFonts w:cstheme="minorHAnsi"/>
        </w:rPr>
        <w:t xml:space="preserve"> </w:t>
      </w:r>
      <w:r w:rsidRPr="00FE3DA3">
        <w:rPr>
          <w:rFonts w:cstheme="minorHAnsi"/>
        </w:rPr>
        <w:t xml:space="preserve">inexorable unfolding of the most serious calamity in human history. But if the </w:t>
      </w:r>
      <w:r>
        <w:rPr>
          <w:rFonts w:cstheme="minorHAnsi"/>
        </w:rPr>
        <w:t xml:space="preserve">primary </w:t>
      </w:r>
      <w:r w:rsidRPr="00FE3DA3">
        <w:rPr>
          <w:rFonts w:cstheme="minorHAnsi"/>
        </w:rPr>
        <w:t>cause is anthropogenic, the solution is obvious:</w:t>
      </w:r>
      <w:r>
        <w:rPr>
          <w:rFonts w:cstheme="minorHAnsi"/>
        </w:rPr>
        <w:t xml:space="preserve"> we’re in control, and </w:t>
      </w:r>
      <w:r w:rsidRPr="00FE3DA3">
        <w:rPr>
          <w:rFonts w:cstheme="minorHAnsi"/>
        </w:rPr>
        <w:t>we need only</w:t>
      </w:r>
      <w:r>
        <w:rPr>
          <w:rFonts w:cstheme="minorHAnsi"/>
        </w:rPr>
        <w:t xml:space="preserve"> </w:t>
      </w:r>
      <w:r w:rsidRPr="00FE3DA3">
        <w:rPr>
          <w:rFonts w:cstheme="minorHAnsi"/>
        </w:rPr>
        <w:t>change our behavior. Or is it that simple?</w:t>
      </w:r>
    </w:p>
    <w:p w14:paraId="252EA2E3" w14:textId="77777777" w:rsidR="00AA0A34" w:rsidRDefault="00AA0A34" w:rsidP="00AA0A34">
      <w:pPr>
        <w:pStyle w:val="NormalWeb"/>
        <w:shd w:val="clear" w:color="auto" w:fill="FFFFFF"/>
        <w:tabs>
          <w:tab w:val="left" w:pos="720"/>
        </w:tabs>
        <w:ind w:right="90"/>
        <w:rPr>
          <w:rFonts w:cstheme="minorHAnsi"/>
        </w:rPr>
      </w:pPr>
      <w:r w:rsidRPr="003A3615">
        <w:rPr>
          <w:rFonts w:cstheme="minorHAnsi"/>
        </w:rPr>
        <w:t xml:space="preserve">In 1994 a remarkable </w:t>
      </w:r>
      <w:r>
        <w:rPr>
          <w:rFonts w:cstheme="minorHAnsi"/>
        </w:rPr>
        <w:t xml:space="preserve">international </w:t>
      </w:r>
      <w:r w:rsidRPr="003A3615">
        <w:rPr>
          <w:rFonts w:cstheme="minorHAnsi"/>
        </w:rPr>
        <w:t>agreement was struck. When the facts supporting climate change were not nearly so strong as they are today, more than 100 nations, representing the vast majority of the world’s population, ratified the United Nations Framework Convention on Climate Change (UNFC</w:t>
      </w:r>
      <w:r>
        <w:rPr>
          <w:rFonts w:cstheme="minorHAnsi"/>
        </w:rPr>
        <w:t>C</w:t>
      </w:r>
      <w:r w:rsidRPr="003A3615">
        <w:rPr>
          <w:rFonts w:cstheme="minorHAnsi"/>
        </w:rPr>
        <w:t>C</w:t>
      </w:r>
      <w:r>
        <w:rPr>
          <w:rFonts w:cstheme="minorHAnsi"/>
        </w:rPr>
        <w:t xml:space="preserve">). </w:t>
      </w:r>
      <w:r w:rsidRPr="00A46317">
        <w:rPr>
          <w:rFonts w:cstheme="minorHAnsi"/>
        </w:rPr>
        <w:t xml:space="preserve">Today the UNFCCC has been ratified by 198 parties—197 states </w:t>
      </w:r>
      <w:r w:rsidRPr="00A46317">
        <w:rPr>
          <w:rFonts w:cstheme="minorHAnsi"/>
        </w:rPr>
        <w:lastRenderedPageBreak/>
        <w:t>plus the European Union. That near-universal support includes the United States, which ratified the convention in 1992.</w:t>
      </w:r>
    </w:p>
    <w:p w14:paraId="092BB097" w14:textId="77777777" w:rsidR="00AA0A34" w:rsidRDefault="00AA0A34" w:rsidP="00AA0A34">
      <w:pPr>
        <w:pStyle w:val="NormalWeb"/>
        <w:shd w:val="clear" w:color="auto" w:fill="FFFFFF"/>
        <w:tabs>
          <w:tab w:val="left" w:pos="720"/>
        </w:tabs>
        <w:ind w:right="90"/>
        <w:rPr>
          <w:rFonts w:cstheme="minorHAnsi"/>
        </w:rPr>
      </w:pPr>
      <w:r w:rsidRPr="003A3615">
        <w:rPr>
          <w:rFonts w:cstheme="minorHAnsi"/>
        </w:rPr>
        <w:t>The general objective</w:t>
      </w:r>
      <w:r>
        <w:rPr>
          <w:rFonts w:cstheme="minorHAnsi"/>
        </w:rPr>
        <w:t xml:space="preserve"> the UNFCCC</w:t>
      </w:r>
      <w:r w:rsidRPr="003A3615">
        <w:rPr>
          <w:rFonts w:cstheme="minorHAnsi"/>
        </w:rPr>
        <w:t xml:space="preserve"> was, and remains, stabilizing </w:t>
      </w:r>
      <w:r>
        <w:rPr>
          <w:rFonts w:cstheme="minorHAnsi"/>
        </w:rPr>
        <w:t xml:space="preserve">atmospheric </w:t>
      </w:r>
      <w:r w:rsidRPr="003A3615">
        <w:rPr>
          <w:rFonts w:cstheme="minorHAnsi"/>
        </w:rPr>
        <w:t xml:space="preserve">greenhouse gas concentrations at a level that would prevent dangerous anthropogenic interference with the climate system. It was a bold initiative, and there was cause for optimism, as it followed on the heels of the extraordinarily successful Montreal protocol for reducing stratospheric ozone depletion. </w:t>
      </w:r>
    </w:p>
    <w:p w14:paraId="6C224753" w14:textId="77777777" w:rsidR="00AA0A34" w:rsidRPr="00E95CF8" w:rsidRDefault="00AA0A34" w:rsidP="00AA0A34">
      <w:pPr>
        <w:pStyle w:val="NormalWeb"/>
        <w:shd w:val="clear" w:color="auto" w:fill="FFFFFF"/>
        <w:tabs>
          <w:tab w:val="left" w:pos="720"/>
        </w:tabs>
        <w:ind w:right="90"/>
        <w:rPr>
          <w:rFonts w:cstheme="minorHAnsi"/>
        </w:rPr>
      </w:pPr>
      <w:r w:rsidRPr="001F4F89">
        <w:rPr>
          <w:rFonts w:cstheme="minorHAnsi"/>
          <w:color w:val="000000" w:themeColor="text1"/>
        </w:rPr>
        <w:t xml:space="preserve">The two decades </w:t>
      </w:r>
      <w:r w:rsidRPr="003A3615">
        <w:rPr>
          <w:rFonts w:cstheme="minorHAnsi"/>
        </w:rPr>
        <w:t xml:space="preserve">that followed </w:t>
      </w:r>
      <w:r>
        <w:rPr>
          <w:rFonts w:cstheme="minorHAnsi"/>
        </w:rPr>
        <w:t xml:space="preserve">Montreal </w:t>
      </w:r>
      <w:r w:rsidRPr="003A3615">
        <w:rPr>
          <w:rFonts w:cstheme="minorHAnsi"/>
        </w:rPr>
        <w:t xml:space="preserve">saw the development of multiple accords aimed at GHG reduction and temperature stabilization, the most recent being </w:t>
      </w:r>
      <w:r>
        <w:rPr>
          <w:rFonts w:cstheme="minorHAnsi"/>
        </w:rPr>
        <w:t xml:space="preserve">the </w:t>
      </w:r>
      <w:r w:rsidRPr="003A3615">
        <w:rPr>
          <w:rFonts w:cstheme="minorHAnsi"/>
        </w:rPr>
        <w:t>2015</w:t>
      </w:r>
      <w:r>
        <w:rPr>
          <w:rFonts w:cstheme="minorHAnsi"/>
        </w:rPr>
        <w:t xml:space="preserve"> Paris</w:t>
      </w:r>
      <w:r w:rsidRPr="003A3615">
        <w:rPr>
          <w:rFonts w:cstheme="minorHAnsi"/>
        </w:rPr>
        <w:t xml:space="preserve"> </w:t>
      </w:r>
      <w:r>
        <w:rPr>
          <w:color w:val="000000"/>
        </w:rPr>
        <w:t xml:space="preserve">Agreement that aims to limit warming to well below 2°C above preindustrial levels, with efforts toward 1.5 °C. </w:t>
      </w:r>
      <w:r w:rsidRPr="00A46317">
        <w:rPr>
          <w:color w:val="000000"/>
        </w:rPr>
        <w:t>Unfortunately, the climate change accords, unlike the Montreal protocol, have not yet produced emissions reductions sufficient to alter the overall trajectory of global greenhouse gas concentrations. In</w:t>
      </w:r>
      <w:r w:rsidRPr="003A3615">
        <w:rPr>
          <w:rFonts w:cstheme="minorHAnsi"/>
        </w:rPr>
        <w:t xml:space="preserve"> fact, </w:t>
      </w:r>
      <w:r>
        <w:rPr>
          <w:rFonts w:cstheme="minorHAnsi"/>
        </w:rPr>
        <w:t>c</w:t>
      </w:r>
      <w:r w:rsidRPr="00BE035B">
        <w:rPr>
          <w:rFonts w:cstheme="minorHAnsi"/>
        </w:rPr>
        <w:t>urrent</w:t>
      </w:r>
      <w:r>
        <w:rPr>
          <w:color w:val="000000"/>
        </w:rPr>
        <w:t xml:space="preserve"> pledges, even if fully implemented, are projected to limit warming only to roughly 2.5–2.8 °C by 2100. </w:t>
      </w:r>
      <w:r>
        <w:rPr>
          <w:rFonts w:cstheme="minorHAnsi"/>
        </w:rPr>
        <w:t xml:space="preserve">This is significantly higher than the temperature at which ice sheet collapse becomes inevitable. </w:t>
      </w:r>
      <w:r>
        <w:rPr>
          <w:color w:val="000000"/>
        </w:rPr>
        <w:t xml:space="preserve">Even a 2 °C world would likely entail extensive coral reef loss, increased heat-related mortality, agricultural stress in vulnerable regions, and expanded vector-borne disease. Adaptation efforts are essential but cannot fully offset continued emissions growth. </w:t>
      </w:r>
    </w:p>
    <w:p w14:paraId="7A173D60" w14:textId="77777777" w:rsidR="00AA0A34" w:rsidRDefault="00AA0A34" w:rsidP="00AA0A34">
      <w:pPr>
        <w:pStyle w:val="NormalWeb"/>
      </w:pPr>
      <w:r>
        <w:rPr>
          <w:rFonts w:cstheme="minorHAnsi"/>
        </w:rPr>
        <w:t xml:space="preserve">The Bill and Melinda Gates Foundation is making investments in these regions to alleviate hunger, which is serious even now, and to mitigate and adapt to climate change. But they as well as others are living in an Alice in Wonderland world in which a Red Queens race requires increasingly rapid mitigation and adaptation just to maintain stability. A back of the envelope calculation suggests that a mitigation strategy capable of reducing atmospheric carbon by 200 billion tons by the end of the century, would reduce it by only 60 billion tons if implementation were delayed 20 years </w:t>
      </w:r>
      <w:r w:rsidRPr="00E425F9">
        <w:rPr>
          <w:rFonts w:cstheme="minorHAnsi"/>
        </w:rPr>
        <w:t>(9, 10).</w:t>
      </w:r>
      <w:r>
        <w:rPr>
          <w:rFonts w:cstheme="minorHAnsi"/>
        </w:rPr>
        <w:t xml:space="preserve"> </w:t>
      </w:r>
      <w:r>
        <w:t xml:space="preserve">Put </w:t>
      </w:r>
      <w:r w:rsidRPr="004819D8">
        <w:rPr>
          <w:color w:val="000000" w:themeColor="text1"/>
        </w:rPr>
        <w:t xml:space="preserve">differently, delay </w:t>
      </w:r>
      <w:r>
        <w:t>doesn't simply defer the problem — it multiplies the effort required to solve it</w:t>
      </w:r>
      <w:r w:rsidRPr="00034E6F">
        <w:rPr>
          <w:b/>
          <w:bCs/>
        </w:rPr>
        <w:t>.</w:t>
      </w:r>
    </w:p>
    <w:p w14:paraId="689A8063" w14:textId="77777777" w:rsidR="00AA0A34" w:rsidRPr="00633DC2" w:rsidRDefault="00AA0A34" w:rsidP="00AA0A34">
      <w:pPr>
        <w:pStyle w:val="NormalWeb"/>
        <w:shd w:val="clear" w:color="auto" w:fill="FFFFFF"/>
        <w:tabs>
          <w:tab w:val="left" w:pos="720"/>
        </w:tabs>
        <w:ind w:right="90"/>
        <w:rPr>
          <w:rFonts w:cstheme="minorHAnsi"/>
        </w:rPr>
      </w:pPr>
      <w:bookmarkStart w:id="1" w:name="_Toc62220121"/>
      <w:r>
        <w:rPr>
          <w:rFonts w:cstheme="minorHAnsi"/>
        </w:rPr>
        <w:t>Although there are solutions—and some will be discussed below— the fact is that a</w:t>
      </w:r>
      <w:r w:rsidRPr="003A3615">
        <w:rPr>
          <w:rFonts w:cstheme="minorHAnsi"/>
        </w:rPr>
        <w:t xml:space="preserve">fter nearly 3 decades of negotiations and agreements, </w:t>
      </w:r>
      <w:r>
        <w:rPr>
          <w:rFonts w:cstheme="minorHAnsi"/>
        </w:rPr>
        <w:t>the nations of the world</w:t>
      </w:r>
      <w:r w:rsidRPr="003A3615">
        <w:rPr>
          <w:rFonts w:cstheme="minorHAnsi"/>
        </w:rPr>
        <w:t xml:space="preserve"> find </w:t>
      </w:r>
      <w:r>
        <w:rPr>
          <w:rFonts w:cstheme="minorHAnsi"/>
        </w:rPr>
        <w:t>themselves</w:t>
      </w:r>
      <w:r w:rsidRPr="003A3615">
        <w:rPr>
          <w:rFonts w:cstheme="minorHAnsi"/>
        </w:rPr>
        <w:t xml:space="preserve"> in the </w:t>
      </w:r>
      <w:r>
        <w:rPr>
          <w:rFonts w:cstheme="minorHAnsi"/>
        </w:rPr>
        <w:t>perplexing</w:t>
      </w:r>
      <w:r w:rsidRPr="003A3615">
        <w:rPr>
          <w:rFonts w:cstheme="minorHAnsi"/>
        </w:rPr>
        <w:t xml:space="preserve"> position of watching greenhouse gases continue to increase, </w:t>
      </w:r>
      <w:r>
        <w:rPr>
          <w:rFonts w:cstheme="minorHAnsi"/>
        </w:rPr>
        <w:t>even as</w:t>
      </w:r>
      <w:r w:rsidRPr="003A3615">
        <w:rPr>
          <w:rFonts w:cstheme="minorHAnsi"/>
        </w:rPr>
        <w:t xml:space="preserve"> </w:t>
      </w:r>
      <w:r>
        <w:rPr>
          <w:rFonts w:cstheme="minorHAnsi"/>
        </w:rPr>
        <w:t xml:space="preserve">the </w:t>
      </w:r>
      <w:r w:rsidRPr="003A3615">
        <w:rPr>
          <w:rFonts w:cstheme="minorHAnsi"/>
        </w:rPr>
        <w:t>global average temperature continue</w:t>
      </w:r>
      <w:r>
        <w:rPr>
          <w:rFonts w:cstheme="minorHAnsi"/>
        </w:rPr>
        <w:t>s</w:t>
      </w:r>
      <w:r w:rsidRPr="003A3615">
        <w:rPr>
          <w:rFonts w:cstheme="minorHAnsi"/>
        </w:rPr>
        <w:t xml:space="preserve"> to reach record highs </w:t>
      </w:r>
      <w:r>
        <w:rPr>
          <w:rFonts w:cstheme="minorHAnsi"/>
        </w:rPr>
        <w:t xml:space="preserve">and ecological threats turn real, </w:t>
      </w:r>
      <w:r w:rsidRPr="003A3615">
        <w:rPr>
          <w:rFonts w:cstheme="minorHAnsi"/>
        </w:rPr>
        <w:t>while insist</w:t>
      </w:r>
      <w:r>
        <w:rPr>
          <w:rFonts w:cstheme="minorHAnsi"/>
        </w:rPr>
        <w:t>ing</w:t>
      </w:r>
      <w:r w:rsidRPr="003A3615">
        <w:rPr>
          <w:rFonts w:cstheme="minorHAnsi"/>
        </w:rPr>
        <w:t xml:space="preserve"> that they want it to stop. </w:t>
      </w:r>
      <w:r w:rsidRPr="00633DC2">
        <w:rPr>
          <w:rFonts w:cstheme="minorHAnsi"/>
        </w:rPr>
        <w:t>At this point there is a growing consensus that regulation alone will not keep temperatures from exceeding the 2</w:t>
      </w:r>
      <w:r>
        <w:rPr>
          <w:rFonts w:cstheme="minorHAnsi"/>
        </w:rPr>
        <w:t xml:space="preserve"> </w:t>
      </w:r>
      <w:r w:rsidRPr="00633DC2">
        <w:rPr>
          <w:rFonts w:cstheme="minorHAnsi"/>
        </w:rPr>
        <w:t xml:space="preserve">°C threshold. </w:t>
      </w:r>
      <w:r w:rsidRPr="005D32CC">
        <w:rPr>
          <w:rFonts w:cstheme="minorHAnsi"/>
        </w:rPr>
        <w:t xml:space="preserve">Part of the difficulty lies in the uneven structure of emissions across sectors. </w:t>
      </w:r>
      <w:r w:rsidRPr="00716585">
        <w:rPr>
          <w:rFonts w:cstheme="minorHAnsi"/>
        </w:rPr>
        <w:t xml:space="preserve">This is </w:t>
      </w:r>
      <w:r>
        <w:rPr>
          <w:rFonts w:cstheme="minorHAnsi"/>
        </w:rPr>
        <w:t>especially</w:t>
      </w:r>
      <w:r w:rsidRPr="00716585">
        <w:rPr>
          <w:rFonts w:cstheme="minorHAnsi"/>
        </w:rPr>
        <w:t xml:space="preserve"> sobering given that electricity generation, while critical, accounts for only a portion of total emissions—decarbonizing industry, agriculture, and transport poses even harder challenges.</w:t>
      </w:r>
    </w:p>
    <w:p w14:paraId="0A3C4131" w14:textId="77777777" w:rsidR="00AA0A34" w:rsidRDefault="00AA0A34" w:rsidP="00AA0A34">
      <w:pPr>
        <w:pStyle w:val="NormalWeb"/>
        <w:shd w:val="clear" w:color="auto" w:fill="FFFFFF"/>
        <w:tabs>
          <w:tab w:val="left" w:pos="720"/>
        </w:tabs>
        <w:ind w:right="90"/>
        <w:rPr>
          <w:rFonts w:cstheme="minorHAnsi"/>
          <w:b/>
          <w:bCs/>
          <w:sz w:val="28"/>
          <w:szCs w:val="28"/>
        </w:rPr>
      </w:pPr>
      <w:r w:rsidRPr="00C57F5F">
        <w:rPr>
          <w:rFonts w:cstheme="minorHAnsi"/>
          <w:b/>
          <w:bCs/>
          <w:sz w:val="28"/>
          <w:szCs w:val="28"/>
        </w:rPr>
        <w:t xml:space="preserve">Technological </w:t>
      </w:r>
      <w:r>
        <w:rPr>
          <w:rFonts w:cstheme="minorHAnsi"/>
          <w:b/>
          <w:bCs/>
          <w:sz w:val="28"/>
          <w:szCs w:val="28"/>
        </w:rPr>
        <w:t>Transition: Decoupling Economic Growth From GHG Emissions</w:t>
      </w:r>
    </w:p>
    <w:p w14:paraId="449DA581" w14:textId="77777777" w:rsidR="00AA0A34" w:rsidRDefault="00AA0A34" w:rsidP="00AA0A34">
      <w:pPr>
        <w:rPr>
          <w:color w:val="000000"/>
        </w:rPr>
      </w:pPr>
      <w:r w:rsidRPr="00E15EF7">
        <w:rPr>
          <w:color w:val="000000"/>
        </w:rPr>
        <w:t xml:space="preserve">The Paris accords and attempts to control greenhouse gases notwithstanding, the levels of global atmospheric CO₂ continue to rise in concert with economic growth. Until recently, this coupling has been viewed as inevitable since growth requires energy generation and most of the planet's </w:t>
      </w:r>
      <w:r w:rsidRPr="00E15EF7">
        <w:rPr>
          <w:color w:val="000000"/>
        </w:rPr>
        <w:lastRenderedPageBreak/>
        <w:t>energy is generated by burning fossil fuels. But there is reason for cautious optimism. One of the more hopeful trends is that between 2005 and 2023 US GDP grew by approximately 45% while energy-related CO₂ emissions declined by about 20% (</w:t>
      </w:r>
      <w:r>
        <w:rPr>
          <w:color w:val="000000"/>
        </w:rPr>
        <w:t>11</w:t>
      </w:r>
      <w:r w:rsidRPr="00E15EF7">
        <w:rPr>
          <w:color w:val="000000"/>
        </w:rPr>
        <w:t>, 1</w:t>
      </w:r>
      <w:r>
        <w:rPr>
          <w:color w:val="000000"/>
        </w:rPr>
        <w:t>2</w:t>
      </w:r>
      <w:r w:rsidRPr="00E15EF7">
        <w:rPr>
          <w:color w:val="000000"/>
        </w:rPr>
        <w:t>).This reflects improvements in efficiency, a shift from coal to natural gas, and rapid expansion of wind and solar (1</w:t>
      </w:r>
      <w:r>
        <w:rPr>
          <w:color w:val="000000"/>
        </w:rPr>
        <w:t>3</w:t>
      </w:r>
      <w:r w:rsidRPr="00E15EF7">
        <w:rPr>
          <w:color w:val="000000"/>
        </w:rPr>
        <w:t>), and represents absolute decoupling of economic output (i.e. the gross domestic product) from emissions—the former increasing as the latter declines.</w:t>
      </w:r>
    </w:p>
    <w:p w14:paraId="6EE3223F" w14:textId="77777777" w:rsidR="00AA0A34" w:rsidRDefault="00AA0A34" w:rsidP="00AA0A34">
      <w:pPr>
        <w:rPr>
          <w:color w:val="000000"/>
        </w:rPr>
      </w:pPr>
    </w:p>
    <w:p w14:paraId="1AA5C9AB" w14:textId="77777777" w:rsidR="00AA0A34" w:rsidRDefault="00AA0A34" w:rsidP="00AA0A34">
      <w:pPr>
        <w:rPr>
          <w:color w:val="000000"/>
        </w:rPr>
      </w:pPr>
      <w:r w:rsidRPr="00876748">
        <w:rPr>
          <w:color w:val="000000"/>
        </w:rPr>
        <w:t>Economic growth normally drives up energy consumption, but efficiency improvements now mean less energy is required for each dollar of GDP — through better-insulated buildings, more efficient industrial motors, and cleaner vehicles. As a result, US primary energy consumption has declined modestly since its peak in the mid-2000s, even as the economy has grown substantially</w:t>
      </w:r>
      <w:r>
        <w:rPr>
          <w:color w:val="000000"/>
        </w:rPr>
        <w:t xml:space="preserve"> i.e. </w:t>
      </w:r>
      <w:r w:rsidRPr="00876748">
        <w:rPr>
          <w:color w:val="000000"/>
        </w:rPr>
        <w:t xml:space="preserve">energy use </w:t>
      </w:r>
      <w:r>
        <w:rPr>
          <w:color w:val="000000"/>
        </w:rPr>
        <w:t xml:space="preserve">is </w:t>
      </w:r>
      <w:r w:rsidRPr="008722BF">
        <w:rPr>
          <w:i/>
          <w:iCs/>
          <w:color w:val="000000"/>
        </w:rPr>
        <w:t>decoupled</w:t>
      </w:r>
      <w:r>
        <w:rPr>
          <w:color w:val="000000"/>
        </w:rPr>
        <w:t xml:space="preserve"> </w:t>
      </w:r>
      <w:r w:rsidRPr="00876748">
        <w:rPr>
          <w:color w:val="000000"/>
        </w:rPr>
        <w:t>from economic output.</w:t>
      </w:r>
      <w:r w:rsidRPr="00B95FBA">
        <w:rPr>
          <w:color w:val="000000"/>
        </w:rPr>
        <w:t xml:space="preserve"> </w:t>
      </w:r>
    </w:p>
    <w:p w14:paraId="6536657C" w14:textId="77777777" w:rsidR="00AA0A34" w:rsidRDefault="00AA0A34" w:rsidP="00AA0A34">
      <w:pPr>
        <w:rPr>
          <w:color w:val="000000"/>
        </w:rPr>
      </w:pPr>
    </w:p>
    <w:p w14:paraId="72E02102" w14:textId="77777777" w:rsidR="00AA0A34" w:rsidRPr="007015FD" w:rsidRDefault="00AA0A34" w:rsidP="00AA0A34">
      <w:pPr>
        <w:rPr>
          <w:color w:val="000000"/>
        </w:rPr>
      </w:pPr>
      <w:r>
        <w:rPr>
          <w:color w:val="000000"/>
        </w:rPr>
        <w:t xml:space="preserve">Because overall electricity demand has grown relatively slowly in recent years—although this may change with the expansion of AI, data centers, and electrification—new renewable capacity does not merely serve incremental load; it directly displaces fossil fuel generation. </w:t>
      </w:r>
      <w:r w:rsidRPr="00B95FBA">
        <w:rPr>
          <w:color w:val="000000"/>
        </w:rPr>
        <w:t xml:space="preserve">This happens through the economics of grid operation: grid operators dispatch power plants in order of their operating costs, running the cheapest sources first. Wind and solar, which have near-zero fuel costs once built, therefore run whenever they are available, pushing higher-cost coal and natural gas plants down the dispatch order or off the grid entirely. The result is that each addition of renewable capacity translates more directly into reduced fossil fuel burning than it would in a rapidly growing grid. </w:t>
      </w:r>
      <w:r>
        <w:rPr>
          <w:color w:val="000000"/>
        </w:rPr>
        <w:t>In other words, w</w:t>
      </w:r>
      <w:r w:rsidRPr="008208EA">
        <w:rPr>
          <w:color w:val="000000"/>
        </w:rPr>
        <w:t>hen a new wind farm comes online and overall demand hasn't grown, the most expensive plant still operating—usually coal—is the first to be dialed back or shut down.</w:t>
      </w:r>
    </w:p>
    <w:p w14:paraId="1B5F3733" w14:textId="77777777" w:rsidR="00AA0A34" w:rsidRDefault="00AA0A34" w:rsidP="00AA0A34">
      <w:pPr>
        <w:spacing w:before="100" w:beforeAutospacing="1" w:after="100" w:afterAutospacing="1"/>
        <w:rPr>
          <w:color w:val="000000"/>
        </w:rPr>
      </w:pPr>
      <w:r w:rsidRPr="00E15EF7">
        <w:rPr>
          <w:color w:val="000000"/>
        </w:rPr>
        <w:t>The global picture, however, is more sobering. Between 2005 and 2023, global CO2 emissions from fossil fuel combustion rose by approximately 25%. This increase was driven primarily by China and India, whose emissions grew by 117% and 158%, respectively. For India</w:t>
      </w:r>
      <w:r>
        <w:rPr>
          <w:color w:val="000000"/>
        </w:rPr>
        <w:t>,</w:t>
      </w:r>
      <w:r w:rsidRPr="00E15EF7">
        <w:rPr>
          <w:color w:val="000000"/>
        </w:rPr>
        <w:t xml:space="preserve"> just as for other developing nations</w:t>
      </w:r>
      <w:r>
        <w:rPr>
          <w:color w:val="000000"/>
        </w:rPr>
        <w:t>,</w:t>
      </w:r>
      <w:r w:rsidRPr="002534D6">
        <w:rPr>
          <w:rFonts w:ascii="-webkit-standard" w:hAnsi="-webkit-standard"/>
          <w:color w:val="000000"/>
          <w:sz w:val="27"/>
          <w:szCs w:val="27"/>
        </w:rPr>
        <w:t xml:space="preserve"> </w:t>
      </w:r>
      <w:r w:rsidRPr="002534D6">
        <w:rPr>
          <w:color w:val="000000"/>
        </w:rPr>
        <w:t>coal</w:t>
      </w:r>
      <w:r>
        <w:rPr>
          <w:rFonts w:ascii="-webkit-standard" w:hAnsi="-webkit-standard"/>
          <w:color w:val="000000"/>
          <w:sz w:val="27"/>
          <w:szCs w:val="27"/>
        </w:rPr>
        <w:t xml:space="preserve"> </w:t>
      </w:r>
      <w:r w:rsidRPr="002534D6">
        <w:rPr>
          <w:color w:val="000000"/>
        </w:rPr>
        <w:t xml:space="preserve">remains the most economically accessible and scalable energy source </w:t>
      </w:r>
    </w:p>
    <w:p w14:paraId="2ED5618A" w14:textId="77777777" w:rsidR="00AA0A34" w:rsidRPr="00633DC2" w:rsidRDefault="00AA0A34" w:rsidP="00AA0A34">
      <w:pPr>
        <w:spacing w:before="100" w:beforeAutospacing="1" w:after="100" w:afterAutospacing="1"/>
        <w:rPr>
          <w:color w:val="000000"/>
        </w:rPr>
      </w:pPr>
      <w:r w:rsidRPr="00AA0195">
        <w:rPr>
          <w:color w:val="000000"/>
        </w:rPr>
        <w:t xml:space="preserve">The transition away from coal in these regions is further stymied by a </w:t>
      </w:r>
      <w:r>
        <w:rPr>
          <w:color w:val="000000"/>
        </w:rPr>
        <w:t xml:space="preserve">so-called </w:t>
      </w:r>
      <w:r w:rsidRPr="00AA0195">
        <w:rPr>
          <w:color w:val="000000"/>
        </w:rPr>
        <w:t>green financing gap</w:t>
      </w:r>
      <w:r>
        <w:rPr>
          <w:color w:val="000000"/>
        </w:rPr>
        <w:t xml:space="preserve"> (14).</w:t>
      </w:r>
      <w:r w:rsidRPr="00AA0195">
        <w:rPr>
          <w:color w:val="000000"/>
        </w:rPr>
        <w:t xml:space="preserve"> </w:t>
      </w:r>
      <w:r>
        <w:rPr>
          <w:color w:val="000000"/>
        </w:rPr>
        <w:t>T</w:t>
      </w:r>
      <w:r w:rsidRPr="00633DC2">
        <w:rPr>
          <w:color w:val="000000"/>
        </w:rPr>
        <w:t>he cost to energy developers of financing renewable projects in emerging economies is often 2</w:t>
      </w:r>
      <w:r>
        <w:rPr>
          <w:color w:val="000000"/>
        </w:rPr>
        <w:t xml:space="preserve"> to </w:t>
      </w:r>
      <w:r w:rsidRPr="00633DC2">
        <w:rPr>
          <w:color w:val="000000"/>
        </w:rPr>
        <w:t xml:space="preserve">3-fold higher than in wealthy ones because country risk, currency risk, and thinner capital markets all drive up </w:t>
      </w:r>
      <w:r>
        <w:rPr>
          <w:color w:val="000000"/>
        </w:rPr>
        <w:t xml:space="preserve">the price of </w:t>
      </w:r>
      <w:r w:rsidRPr="00633DC2">
        <w:rPr>
          <w:color w:val="000000"/>
        </w:rPr>
        <w:t>borrowing.</w:t>
      </w:r>
      <w:r>
        <w:rPr>
          <w:color w:val="000000"/>
        </w:rPr>
        <w:t xml:space="preserve"> </w:t>
      </w:r>
      <w:r w:rsidRPr="00AA0195">
        <w:rPr>
          <w:color w:val="000000"/>
        </w:rPr>
        <w:t>This makes</w:t>
      </w:r>
      <w:r>
        <w:rPr>
          <w:color w:val="000000"/>
        </w:rPr>
        <w:t>, for example,</w:t>
      </w:r>
      <w:r w:rsidRPr="00AA0195">
        <w:rPr>
          <w:color w:val="000000"/>
        </w:rPr>
        <w:t xml:space="preserve"> the same wind farm </w:t>
      </w:r>
      <w:r w:rsidRPr="00633DC2">
        <w:rPr>
          <w:color w:val="000000"/>
        </w:rPr>
        <w:t>significantly more expensive to finance in Mumbai than in Chicago.</w:t>
      </w:r>
    </w:p>
    <w:p w14:paraId="4B0BC5F2" w14:textId="77777777" w:rsidR="00AA0A34" w:rsidRDefault="00AA0A34" w:rsidP="00AA0A34">
      <w:pPr>
        <w:pStyle w:val="NormalWeb"/>
        <w:rPr>
          <w:color w:val="000000"/>
        </w:rPr>
      </w:pPr>
      <w:r>
        <w:rPr>
          <w:color w:val="000000"/>
        </w:rPr>
        <w:t>India’s challenge illustrates the dynamic: w</w:t>
      </w:r>
      <w:r w:rsidRPr="00142FE0">
        <w:rPr>
          <w:color w:val="000000"/>
        </w:rPr>
        <w:t xml:space="preserve">hile </w:t>
      </w:r>
      <w:r>
        <w:rPr>
          <w:color w:val="000000"/>
        </w:rPr>
        <w:t>its</w:t>
      </w:r>
      <w:r w:rsidRPr="00142FE0">
        <w:t> </w:t>
      </w:r>
      <w:r w:rsidRPr="00142FE0">
        <w:rPr>
          <w:color w:val="000000"/>
        </w:rPr>
        <w:t>carbon intensity</w:t>
      </w:r>
      <w:r>
        <w:rPr>
          <w:color w:val="000000"/>
        </w:rPr>
        <w:t xml:space="preserve"> (CO₂ per unit GDP adjusted for the fact that the dollar buys more in Mumbai than in Chicago) (15) is comparable to that of the US, it</w:t>
      </w:r>
      <w:r w:rsidRPr="00142FE0">
        <w:rPr>
          <w:color w:val="000000"/>
        </w:rPr>
        <w:t xml:space="preserve"> has yet to achieve absolute decoupling</w:t>
      </w:r>
      <w:r>
        <w:rPr>
          <w:color w:val="000000"/>
        </w:rPr>
        <w:t xml:space="preserve"> because GDP growth has outpaced decarbonization</w:t>
      </w:r>
      <w:r w:rsidRPr="00142FE0">
        <w:rPr>
          <w:color w:val="000000"/>
        </w:rPr>
        <w:t xml:space="preserve">. Until those two trends cross—where efficiency and clean energy gains finally overtake economic expansion—a total transition away from coal will remain a massive fiscal and logistical hurdle. </w:t>
      </w:r>
      <w:r>
        <w:rPr>
          <w:color w:val="000000"/>
        </w:rPr>
        <w:t xml:space="preserve">India's roadmap to net zero emissions, which would have carbon removed from the atmosphere as rapidly as it enters, anticipates eventual absolute decoupling by 2070— a target date that can hardly be described as encouraging.  </w:t>
      </w:r>
    </w:p>
    <w:p w14:paraId="1DB5B473" w14:textId="77777777" w:rsidR="00AA0A34" w:rsidRDefault="00AA0A34" w:rsidP="00AA0A34">
      <w:pPr>
        <w:rPr>
          <w:rStyle w:val="citation-31"/>
          <w:color w:val="000000"/>
        </w:rPr>
      </w:pPr>
      <w:r w:rsidRPr="00807B6F">
        <w:rPr>
          <w:rStyle w:val="citation-31"/>
          <w:color w:val="000000"/>
        </w:rPr>
        <w:lastRenderedPageBreak/>
        <w:t xml:space="preserve">The economic friction faced by emerging nations suggests a unique advantage of the biological approaches to climate change mitigation, which will be discussed below. </w:t>
      </w:r>
      <w:r>
        <w:rPr>
          <w:rStyle w:val="citation-31"/>
          <w:color w:val="000000"/>
        </w:rPr>
        <w:t>W</w:t>
      </w:r>
      <w:r w:rsidRPr="00807B6F">
        <w:rPr>
          <w:rStyle w:val="citation-31"/>
          <w:color w:val="000000"/>
        </w:rPr>
        <w:t xml:space="preserve">hile wind and solar grids require massive upfront capital that is scarce in economies with a high green financing gap, </w:t>
      </w:r>
      <w:r>
        <w:rPr>
          <w:rStyle w:val="citation-31"/>
          <w:color w:val="000000"/>
        </w:rPr>
        <w:t>a</w:t>
      </w:r>
      <w:r w:rsidRPr="00807B6F">
        <w:rPr>
          <w:rStyle w:val="citation-31"/>
          <w:color w:val="000000"/>
        </w:rPr>
        <w:t>grogenomic</w:t>
      </w:r>
      <w:r>
        <w:rPr>
          <w:rStyle w:val="citation-31"/>
          <w:color w:val="000000"/>
        </w:rPr>
        <w:t xml:space="preserve"> </w:t>
      </w:r>
      <w:r w:rsidRPr="00807B6F">
        <w:rPr>
          <w:rStyle w:val="citation-31"/>
          <w:color w:val="000000"/>
        </w:rPr>
        <w:t>technologies such as engineered seeds or carbon-sequestering trees are inherently decentralized and self-replicating, embedding mitigation directly within plant biology. This agricultural approach enables developing nations to bypass capital-intensive barriers so that they can move directly toward carbon drawdown, and consequently minimize the prohibitive costs of physical grid overhauls.</w:t>
      </w:r>
    </w:p>
    <w:p w14:paraId="5ED869F4" w14:textId="77777777" w:rsidR="00AA0A34" w:rsidRDefault="00AA0A34" w:rsidP="00AA0A34">
      <w:pPr>
        <w:rPr>
          <w:rStyle w:val="citation-31"/>
          <w:color w:val="000000"/>
        </w:rPr>
      </w:pPr>
    </w:p>
    <w:p w14:paraId="2F65AF1A" w14:textId="77777777" w:rsidR="00AA0A34" w:rsidRPr="002534D6" w:rsidRDefault="00AA0A34" w:rsidP="00AA0A34">
      <w:pPr>
        <w:pStyle w:val="NormalWeb"/>
        <w:rPr>
          <w:color w:val="000000"/>
        </w:rPr>
      </w:pPr>
      <w:r>
        <w:rPr>
          <w:color w:val="000000"/>
        </w:rPr>
        <w:t>Beyond the increases in global</w:t>
      </w:r>
      <w:r w:rsidRPr="00142FE0">
        <w:rPr>
          <w:color w:val="000000"/>
        </w:rPr>
        <w:t xml:space="preserve"> </w:t>
      </w:r>
      <w:r w:rsidRPr="004553F6">
        <w:t>CO</w:t>
      </w:r>
      <w:r w:rsidRPr="004553F6">
        <w:rPr>
          <w:vertAlign w:val="subscript"/>
        </w:rPr>
        <w:t>2</w:t>
      </w:r>
      <w:r>
        <w:rPr>
          <w:vertAlign w:val="subscript"/>
        </w:rPr>
        <w:t xml:space="preserve"> </w:t>
      </w:r>
      <w:r>
        <w:t>emissions</w:t>
      </w:r>
      <w:r w:rsidRPr="00142FE0">
        <w:rPr>
          <w:color w:val="000000"/>
        </w:rPr>
        <w:t>, other GHGs gases including</w:t>
      </w:r>
      <w:r>
        <w:t xml:space="preserve"> </w:t>
      </w:r>
      <w:r w:rsidRPr="002534D6">
        <w:rPr>
          <w:color w:val="000000"/>
        </w:rPr>
        <w:t>methane (CH₄, ~18% of forcing), nitrous oxide (N₂O, ~5%), and fluorinated gases (~3%) all show concerning growth trends (16).</w:t>
      </w:r>
      <w:r>
        <w:rPr>
          <w:color w:val="000000"/>
        </w:rPr>
        <w:t xml:space="preserve"> </w:t>
      </w:r>
      <w:r>
        <w:t>T</w:t>
      </w:r>
      <w:r>
        <w:rPr>
          <w:rFonts w:cstheme="minorHAnsi"/>
        </w:rPr>
        <w:t>he atmospheric concentration of methane, whose warming potential (17) over a 20 year period is approximately 84 times greater than that of CO</w:t>
      </w:r>
      <w:r w:rsidRPr="00DF2199">
        <w:rPr>
          <w:rFonts w:cstheme="minorHAnsi"/>
          <w:vertAlign w:val="subscript"/>
        </w:rPr>
        <w:t>2</w:t>
      </w:r>
      <w:r>
        <w:rPr>
          <w:rFonts w:cstheme="minorHAnsi"/>
        </w:rPr>
        <w:t xml:space="preserve">, increased </w:t>
      </w:r>
      <w:r w:rsidRPr="00AB69E1">
        <w:rPr>
          <w:color w:val="000000"/>
        </w:rPr>
        <w:t>~10%</w:t>
      </w:r>
      <w:r>
        <w:rPr>
          <w:color w:val="000000"/>
        </w:rPr>
        <w:t xml:space="preserve"> globally from 2005-2023, and is at its highest level in human history. And N</w:t>
      </w:r>
      <w:r>
        <w:rPr>
          <w:color w:val="000000"/>
          <w:vertAlign w:val="subscript"/>
        </w:rPr>
        <w:t>2</w:t>
      </w:r>
      <w:r>
        <w:rPr>
          <w:color w:val="000000"/>
        </w:rPr>
        <w:t xml:space="preserve">O, with a warming potential of </w:t>
      </w:r>
      <w:r w:rsidRPr="00253099">
        <w:rPr>
          <w:color w:val="000000"/>
        </w:rPr>
        <w:t>273</w:t>
      </w:r>
      <w:r>
        <w:rPr>
          <w:color w:val="000000"/>
        </w:rPr>
        <w:t xml:space="preserve">, is </w:t>
      </w:r>
      <w:r w:rsidRPr="00253099">
        <w:rPr>
          <w:color w:val="000000"/>
        </w:rPr>
        <w:t>up ~15%</w:t>
      </w:r>
      <w:r>
        <w:rPr>
          <w:color w:val="000000"/>
        </w:rPr>
        <w:t>,  while</w:t>
      </w:r>
      <w:r w:rsidRPr="00253099">
        <w:rPr>
          <w:color w:val="000000"/>
        </w:rPr>
        <w:t xml:space="preserve"> the emission </w:t>
      </w:r>
      <w:r>
        <w:rPr>
          <w:color w:val="000000"/>
        </w:rPr>
        <w:t>of F-gases</w:t>
      </w:r>
      <w:r w:rsidRPr="00253099">
        <w:rPr>
          <w:color w:val="000000"/>
        </w:rPr>
        <w:t xml:space="preserve"> whose impact factor is </w:t>
      </w:r>
      <w:r>
        <w:rPr>
          <w:color w:val="000000"/>
        </w:rPr>
        <w:t>three</w:t>
      </w:r>
      <w:r w:rsidRPr="00253099">
        <w:rPr>
          <w:color w:val="000000"/>
        </w:rPr>
        <w:t xml:space="preserve"> orders of magnitude greater than that of CO</w:t>
      </w:r>
      <w:r w:rsidRPr="00512EDF">
        <w:rPr>
          <w:color w:val="000000"/>
          <w:vertAlign w:val="subscript"/>
        </w:rPr>
        <w:t>2</w:t>
      </w:r>
      <w:r>
        <w:rPr>
          <w:color w:val="000000"/>
        </w:rPr>
        <w:t xml:space="preserve">, </w:t>
      </w:r>
      <w:r w:rsidRPr="00253099">
        <w:rPr>
          <w:color w:val="000000"/>
        </w:rPr>
        <w:t>is growing explosively</w:t>
      </w:r>
      <w:r w:rsidRPr="00C708C5">
        <w:rPr>
          <w:rFonts w:cstheme="minorHAnsi"/>
        </w:rPr>
        <w:t xml:space="preserve"> as the developing world urbanizes and installs billions of new </w:t>
      </w:r>
      <w:r>
        <w:rPr>
          <w:rFonts w:cstheme="minorHAnsi"/>
        </w:rPr>
        <w:t>air conditioning</w:t>
      </w:r>
      <w:r w:rsidRPr="00C708C5">
        <w:rPr>
          <w:rFonts w:cstheme="minorHAnsi"/>
        </w:rPr>
        <w:t xml:space="preserve"> units</w:t>
      </w:r>
      <w:r>
        <w:rPr>
          <w:rFonts w:cstheme="minorHAnsi"/>
        </w:rPr>
        <w:t>.</w:t>
      </w:r>
    </w:p>
    <w:p w14:paraId="6AFB3CC7" w14:textId="77777777" w:rsidR="00AA0A34" w:rsidRDefault="00AA0A34" w:rsidP="00AA0A34">
      <w:pPr>
        <w:rPr>
          <w:color w:val="000000"/>
        </w:rPr>
      </w:pPr>
      <w:r>
        <w:rPr>
          <w:color w:val="000000"/>
        </w:rPr>
        <w:t>A</w:t>
      </w:r>
      <w:r w:rsidRPr="00492BC2">
        <w:rPr>
          <w:color w:val="000000"/>
        </w:rPr>
        <w:t xml:space="preserve"> rough idea of the impact of these increases on global warming </w:t>
      </w:r>
      <w:r>
        <w:rPr>
          <w:color w:val="000000"/>
        </w:rPr>
        <w:t>is</w:t>
      </w:r>
      <w:r w:rsidRPr="00492BC2">
        <w:rPr>
          <w:color w:val="000000"/>
        </w:rPr>
        <w:t xml:space="preserve"> </w:t>
      </w:r>
      <w:r>
        <w:rPr>
          <w:color w:val="000000"/>
        </w:rPr>
        <w:t>conveyed</w:t>
      </w:r>
      <w:r w:rsidRPr="00492BC2">
        <w:rPr>
          <w:color w:val="000000"/>
        </w:rPr>
        <w:t xml:space="preserve"> by </w:t>
      </w:r>
      <w:r>
        <w:rPr>
          <w:color w:val="000000"/>
        </w:rPr>
        <w:t>the increase in</w:t>
      </w:r>
      <w:r w:rsidRPr="00492BC2">
        <w:rPr>
          <w:color w:val="000000"/>
        </w:rPr>
        <w:t xml:space="preserve"> average global temperature anomaly</w:t>
      </w:r>
      <w:r>
        <w:rPr>
          <w:color w:val="000000"/>
        </w:rPr>
        <w:t>—</w:t>
      </w:r>
      <w:r w:rsidRPr="00492BC2">
        <w:rPr>
          <w:color w:val="000000"/>
        </w:rPr>
        <w:t xml:space="preserve"> in 2005 </w:t>
      </w:r>
      <w:r>
        <w:rPr>
          <w:color w:val="000000"/>
        </w:rPr>
        <w:t xml:space="preserve">it </w:t>
      </w:r>
      <w:r w:rsidRPr="00492BC2">
        <w:rPr>
          <w:color w:val="000000"/>
        </w:rPr>
        <w:t>was roughly 0.5°C above the baseline (the 1850–1900 pre-industrial average global temperature), whereas in 2025 we are hovering near 1.4°C. The planet</w:t>
      </w:r>
      <w:r>
        <w:rPr>
          <w:color w:val="000000"/>
        </w:rPr>
        <w:t>'s</w:t>
      </w:r>
      <w:r w:rsidRPr="00492BC2">
        <w:rPr>
          <w:color w:val="000000"/>
        </w:rPr>
        <w:t xml:space="preserve"> fever </w:t>
      </w:r>
      <w:r>
        <w:rPr>
          <w:color w:val="000000"/>
        </w:rPr>
        <w:t>nearly</w:t>
      </w:r>
      <w:r w:rsidRPr="00492BC2">
        <w:rPr>
          <w:color w:val="000000"/>
        </w:rPr>
        <w:t xml:space="preserve"> tripled in just two decades.</w:t>
      </w:r>
    </w:p>
    <w:p w14:paraId="4357914F" w14:textId="77777777" w:rsidR="00AA0A34" w:rsidRDefault="00AA0A34" w:rsidP="00AA0A34">
      <w:pPr>
        <w:rPr>
          <w:color w:val="000000"/>
        </w:rPr>
      </w:pPr>
    </w:p>
    <w:p w14:paraId="116E56A6" w14:textId="77777777" w:rsidR="00AA0A34" w:rsidRPr="00111D5E" w:rsidRDefault="00AA0A34" w:rsidP="00AA0A34">
      <w:pPr>
        <w:rPr>
          <w:color w:val="000000"/>
        </w:rPr>
      </w:pPr>
    </w:p>
    <w:p w14:paraId="50FED4B4" w14:textId="77777777" w:rsidR="00AA0A34" w:rsidRDefault="00AA0A34" w:rsidP="00AA0A34">
      <w:pPr>
        <w:pStyle w:val="NormalWeb"/>
        <w:shd w:val="clear" w:color="auto" w:fill="FFFFFF"/>
        <w:tabs>
          <w:tab w:val="left" w:pos="720"/>
        </w:tabs>
        <w:ind w:right="90"/>
        <w:rPr>
          <w:rFonts w:cstheme="minorHAnsi"/>
        </w:rPr>
      </w:pPr>
      <w:r>
        <w:rPr>
          <w:rFonts w:cstheme="minorHAnsi"/>
          <w:noProof/>
        </w:rPr>
        <w:drawing>
          <wp:inline distT="0" distB="0" distL="0" distR="0" wp14:anchorId="69B282A1" wp14:editId="004A4351">
            <wp:extent cx="5200650" cy="2925445"/>
            <wp:effectExtent l="0" t="0" r="6350" b="0"/>
            <wp:docPr id="473878130" name="Picture 4" descr="A group of people standing on a bea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878130" name="Picture 4" descr="A group of people standing on a beach&#10;&#10;AI-generated content may be incorrect."/>
                    <pic:cNvPicPr/>
                  </pic:nvPicPr>
                  <pic:blipFill>
                    <a:blip r:embed="rId6">
                      <a:alphaModFix amt="81000"/>
                      <a:extLst>
                        <a:ext uri="{BEBA8EAE-BF5A-486C-A8C5-ECC9F3942E4B}">
                          <a14:imgProps xmlns:a14="http://schemas.microsoft.com/office/drawing/2010/main">
                            <a14:imgLayer r:embed="rId7">
                              <a14:imgEffect>
                                <a14:colorTemperature colorTemp="6813"/>
                              </a14:imgEffect>
                              <a14:imgEffect>
                                <a14:saturation sat="109000"/>
                              </a14:imgEffect>
                              <a14:imgEffect>
                                <a14:brightnessContrast bright="4000" contrast="12000"/>
                              </a14:imgEffect>
                            </a14:imgLayer>
                          </a14:imgProps>
                        </a:ext>
                        <a:ext uri="{28A0092B-C50C-407E-A947-70E740481C1C}">
                          <a14:useLocalDpi xmlns:a14="http://schemas.microsoft.com/office/drawing/2010/main" val="0"/>
                        </a:ext>
                      </a:extLst>
                    </a:blip>
                    <a:stretch>
                      <a:fillRect/>
                    </a:stretch>
                  </pic:blipFill>
                  <pic:spPr>
                    <a:xfrm>
                      <a:off x="0" y="0"/>
                      <a:ext cx="5200650" cy="2925445"/>
                    </a:xfrm>
                    <a:prstGeom prst="rect">
                      <a:avLst/>
                    </a:prstGeom>
                  </pic:spPr>
                </pic:pic>
              </a:graphicData>
            </a:graphic>
          </wp:inline>
        </w:drawing>
      </w:r>
    </w:p>
    <w:p w14:paraId="5B32D248" w14:textId="77777777" w:rsidR="00AA0A34" w:rsidRPr="009300CC" w:rsidRDefault="00AA0A34" w:rsidP="00AA0A34">
      <w:pPr>
        <w:pStyle w:val="NormalWeb"/>
        <w:shd w:val="clear" w:color="auto" w:fill="FFFFFF"/>
        <w:tabs>
          <w:tab w:val="left" w:pos="720"/>
        </w:tabs>
        <w:ind w:right="90"/>
        <w:rPr>
          <w:rFonts w:cstheme="minorHAnsi"/>
          <w:i/>
          <w:iCs/>
          <w:sz w:val="22"/>
          <w:szCs w:val="22"/>
        </w:rPr>
      </w:pPr>
      <w:r w:rsidRPr="009300CC">
        <w:rPr>
          <w:rFonts w:cstheme="minorHAnsi"/>
          <w:i/>
          <w:iCs/>
          <w:sz w:val="22"/>
          <w:szCs w:val="22"/>
        </w:rPr>
        <w:t>Sadye, Aili, Samuel and Ken (ca, 2015</w:t>
      </w:r>
      <w:r>
        <w:rPr>
          <w:rFonts w:cstheme="minorHAnsi"/>
          <w:i/>
          <w:iCs/>
          <w:sz w:val="22"/>
          <w:szCs w:val="22"/>
        </w:rPr>
        <w:t>)</w:t>
      </w:r>
      <w:r w:rsidRPr="009300CC">
        <w:rPr>
          <w:rFonts w:cstheme="minorHAnsi"/>
          <w:i/>
          <w:iCs/>
          <w:sz w:val="22"/>
          <w:szCs w:val="22"/>
        </w:rPr>
        <w:t>. The previously pristine Gulf is now intermittently plagued by red tide, the result of poisonous algae blooms. It's difficult not to be concerned about what the world will be like when they're my age.</w:t>
      </w:r>
    </w:p>
    <w:p w14:paraId="47BA0CA4" w14:textId="77777777" w:rsidR="00AA0A34" w:rsidRDefault="00AA0A34" w:rsidP="00AA0A34">
      <w:pPr>
        <w:pStyle w:val="NormalWeb"/>
        <w:shd w:val="clear" w:color="auto" w:fill="FFFFFF"/>
        <w:tabs>
          <w:tab w:val="left" w:pos="720"/>
        </w:tabs>
        <w:ind w:right="90"/>
        <w:rPr>
          <w:rFonts w:cstheme="minorHAnsi"/>
        </w:rPr>
      </w:pPr>
      <w:r>
        <w:rPr>
          <w:rFonts w:cstheme="minorHAnsi"/>
        </w:rPr>
        <w:lastRenderedPageBreak/>
        <w:t xml:space="preserve">These worldwide trends don't mean that the situation is hopeless—the approach to climate change has always been multifaceted, and in particular an important component is the development of green energy technologies (GET); i.e., technologies for generating electricity without burning fossil fuels. GET would address </w:t>
      </w:r>
      <w:r>
        <w:t>~74% of GHG emissions</w:t>
      </w:r>
      <w:r>
        <w:rPr>
          <w:rFonts w:cstheme="minorHAnsi"/>
        </w:rPr>
        <w:t xml:space="preserve"> (mainly CO</w:t>
      </w:r>
      <w:r w:rsidRPr="00A26442">
        <w:rPr>
          <w:rFonts w:cstheme="minorHAnsi"/>
          <w:vertAlign w:val="subscript"/>
        </w:rPr>
        <w:t>2</w:t>
      </w:r>
      <w:r>
        <w:rPr>
          <w:rFonts w:cstheme="minorHAnsi"/>
        </w:rPr>
        <w:t>, methane, nitrous oxide and fluorinated gases), the remaining 26% resulting from industrial (chemical) processes and land use changes such as deforestation. Of these, CO</w:t>
      </w:r>
      <w:r w:rsidRPr="007239F3">
        <w:rPr>
          <w:rFonts w:cstheme="minorHAnsi"/>
          <w:vertAlign w:val="subscript"/>
        </w:rPr>
        <w:t>2</w:t>
      </w:r>
      <w:r>
        <w:rPr>
          <w:rFonts w:cstheme="minorHAnsi"/>
        </w:rPr>
        <w:t xml:space="preserve"> has the largest footprint, accounting for about 2/3 of all GHGs produced by fossil fuel combustion. I'll confine my comments only to the most prominent GETs; extensive coverage can be found in the IPCC Sixth Assessment Report (3). </w:t>
      </w:r>
    </w:p>
    <w:p w14:paraId="4783CC6A" w14:textId="77777777" w:rsidR="00AA0A34" w:rsidRPr="00A22F8F" w:rsidRDefault="00AA0A34" w:rsidP="00AA0A34">
      <w:pPr>
        <w:pStyle w:val="NormalWeb"/>
        <w:shd w:val="clear" w:color="auto" w:fill="FFFFFF"/>
        <w:tabs>
          <w:tab w:val="left" w:pos="720"/>
        </w:tabs>
        <w:ind w:right="90"/>
        <w:rPr>
          <w:rFonts w:cstheme="minorHAnsi"/>
          <w:b/>
          <w:bCs/>
          <w:sz w:val="28"/>
          <w:szCs w:val="28"/>
        </w:rPr>
      </w:pPr>
      <w:r w:rsidRPr="00A22F8F">
        <w:rPr>
          <w:rFonts w:cstheme="minorHAnsi"/>
          <w:b/>
          <w:bCs/>
          <w:sz w:val="28"/>
          <w:szCs w:val="28"/>
        </w:rPr>
        <w:t>An Effective Approach to Climate Change Mitigation Must Include Technologies for CO</w:t>
      </w:r>
      <w:r w:rsidRPr="00A22F8F">
        <w:rPr>
          <w:rFonts w:cstheme="minorHAnsi"/>
          <w:b/>
          <w:bCs/>
          <w:sz w:val="28"/>
          <w:szCs w:val="28"/>
          <w:vertAlign w:val="subscript"/>
        </w:rPr>
        <w:t>2</w:t>
      </w:r>
      <w:r w:rsidRPr="00A22F8F">
        <w:rPr>
          <w:rFonts w:cstheme="minorHAnsi"/>
          <w:b/>
          <w:bCs/>
          <w:sz w:val="28"/>
          <w:szCs w:val="28"/>
        </w:rPr>
        <w:t xml:space="preserve"> Drawdown </w:t>
      </w:r>
    </w:p>
    <w:p w14:paraId="2645DA5F" w14:textId="77777777" w:rsidR="00AA0A34" w:rsidRDefault="00AA0A34" w:rsidP="00AA0A34">
      <w:pPr>
        <w:pStyle w:val="NormalWeb"/>
        <w:shd w:val="clear" w:color="auto" w:fill="FFFFFF"/>
        <w:tabs>
          <w:tab w:val="left" w:pos="720"/>
        </w:tabs>
        <w:ind w:right="90"/>
        <w:rPr>
          <w:rFonts w:cstheme="minorHAnsi"/>
        </w:rPr>
      </w:pPr>
      <w:r w:rsidRPr="002534D6">
        <w:rPr>
          <w:rFonts w:cstheme="minorHAnsi"/>
        </w:rPr>
        <w:t xml:space="preserve">They should not, however, be seen as the sole solution: while increasingly cost-competitive in many regions, they are not yet sufficient, on their own, to provide the scalability, storage, and reliability required to replace fossil fuels worldwide in the near term. </w:t>
      </w:r>
      <w:r>
        <w:rPr>
          <w:rFonts w:cstheme="minorHAnsi"/>
        </w:rPr>
        <w:t xml:space="preserve">And while we can reasonably hope for innovations that will help, atmospheric carbon dioxide continues to accumulate—essentially irreversibly. </w:t>
      </w:r>
    </w:p>
    <w:p w14:paraId="60D73C83" w14:textId="77777777" w:rsidR="00AA0A34" w:rsidRDefault="00AA0A34" w:rsidP="00AA0A34">
      <w:pPr>
        <w:pStyle w:val="NormalWeb"/>
        <w:shd w:val="clear" w:color="auto" w:fill="FFFFFF"/>
        <w:tabs>
          <w:tab w:val="left" w:pos="720"/>
        </w:tabs>
        <w:ind w:right="90"/>
        <w:rPr>
          <w:rFonts w:ascii="-webkit-standard" w:hAnsi="-webkit-standard"/>
          <w:color w:val="000000"/>
          <w:sz w:val="27"/>
          <w:szCs w:val="27"/>
        </w:rPr>
      </w:pPr>
      <w:r>
        <w:rPr>
          <w:rFonts w:cstheme="minorHAnsi"/>
        </w:rPr>
        <w:t xml:space="preserve">Even if all carbon emissions were to be brought to zero over the next three or four decades,  the amount of GHG that will have accumulated in the atmosphere will almost certainly be sufficient to eventually drive the average global temperature above 2 </w:t>
      </w:r>
      <w:r w:rsidRPr="002534D6">
        <w:rPr>
          <w:rFonts w:cstheme="minorHAnsi"/>
        </w:rPr>
        <w:t>0</w:t>
      </w:r>
      <w:r>
        <w:rPr>
          <w:rFonts w:cstheme="minorHAnsi"/>
        </w:rPr>
        <w:t xml:space="preserve">C. </w:t>
      </w:r>
      <w:r w:rsidRPr="002534D6">
        <w:rPr>
          <w:rFonts w:cstheme="minorHAnsi"/>
        </w:rPr>
        <w:t>These considerations underscore the need to develop and deploy powerful, cost-effective negative-emissions strategies—approaches that directly remove carbon from the atmosphere.</w:t>
      </w:r>
    </w:p>
    <w:p w14:paraId="3C394ACD" w14:textId="77777777" w:rsidR="00AA0A34" w:rsidRPr="008B02DE" w:rsidRDefault="00AA0A34" w:rsidP="00AA0A34">
      <w:pPr>
        <w:pStyle w:val="NormalWeb"/>
        <w:shd w:val="clear" w:color="auto" w:fill="FFFFFF"/>
        <w:tabs>
          <w:tab w:val="left" w:pos="720"/>
        </w:tabs>
        <w:ind w:right="90"/>
        <w:rPr>
          <w:rFonts w:cstheme="minorHAnsi"/>
          <w:b/>
          <w:bCs/>
        </w:rPr>
      </w:pPr>
      <w:r>
        <w:rPr>
          <w:rFonts w:cstheme="minorHAnsi"/>
        </w:rPr>
        <w:t>There are a number of possible approaches to drawing down atmospheric carbon. One way, which was rarely mentioned just a few years ago, and was subject to considerable pushback whenever it was mentioned, is genetic engineering. Interest in the various opportunities for using genetic technologies to amplify traditional land management methods has, however, been growing and there's now cause for optimism—but it's optimism tempered by hurdles that make the politics of the HGP look like little more than a warm-up exercise.</w:t>
      </w:r>
    </w:p>
    <w:p w14:paraId="7CF772CF" w14:textId="77777777" w:rsidR="00AA0A34" w:rsidRPr="002852FC" w:rsidRDefault="00AA0A34" w:rsidP="00AA0A34">
      <w:pPr>
        <w:pStyle w:val="Heading2"/>
        <w:tabs>
          <w:tab w:val="left" w:pos="720"/>
        </w:tabs>
        <w:spacing w:before="0"/>
        <w:ind w:right="90"/>
        <w:rPr>
          <w:rFonts w:eastAsia="Times New Roman"/>
          <w:b/>
          <w:bCs/>
          <w:sz w:val="28"/>
          <w:szCs w:val="28"/>
        </w:rPr>
      </w:pPr>
      <w:r w:rsidRPr="00A22F8F">
        <w:rPr>
          <w:rFonts w:eastAsia="Times New Roman"/>
          <w:bCs/>
          <w:sz w:val="28"/>
          <w:szCs w:val="28"/>
        </w:rPr>
        <w:t>Harnessing Agricultural Genomics</w:t>
      </w:r>
      <w:bookmarkEnd w:id="1"/>
      <w:r w:rsidRPr="00A22F8F">
        <w:rPr>
          <w:rFonts w:eastAsia="Times New Roman"/>
          <w:bCs/>
          <w:sz w:val="28"/>
          <w:szCs w:val="28"/>
        </w:rPr>
        <w:t xml:space="preserve"> (1</w:t>
      </w:r>
      <w:r>
        <w:rPr>
          <w:rFonts w:eastAsia="Times New Roman"/>
          <w:bCs/>
          <w:sz w:val="28"/>
          <w:szCs w:val="28"/>
        </w:rPr>
        <w:t>8</w:t>
      </w:r>
      <w:r w:rsidRPr="00A22F8F">
        <w:rPr>
          <w:rFonts w:eastAsia="Times New Roman"/>
          <w:bCs/>
          <w:sz w:val="28"/>
          <w:szCs w:val="28"/>
        </w:rPr>
        <w:t>)</w:t>
      </w:r>
    </w:p>
    <w:p w14:paraId="3BFC7552" w14:textId="77777777" w:rsidR="00AA0A34" w:rsidRPr="002852FC" w:rsidRDefault="00AA0A34" w:rsidP="00AA0A34">
      <w:pPr>
        <w:pStyle w:val="NormalWeb"/>
        <w:rPr>
          <w:color w:val="000000"/>
        </w:rPr>
      </w:pPr>
      <w:r w:rsidRPr="002852FC">
        <w:rPr>
          <w:color w:val="000000"/>
        </w:rPr>
        <w:t>The key to understanding how genomics can help mitigate climate change is recognizing that carbon dioxide circulates continuously among land, atmosphere, and ocean on timescales of years to decades. Each year, land plants convert roughly 120 gigatons of atmospheric carbon through photosynthesis into biomass, much of which is rapidly returned to the atmosphere through respiration (19), leaving the terrestrial carbon cycle approximately in balance on average. Because these fluxes are so large, even a reduction of just a few percent in the carbon returned to the atmosphere by plant and microbial respiration could significantly slow the buildup of atmospheric carbon. An analogous leverage exists in ocean–atmosphere exchange, where small shifts in uptake or release can likewise influence atmospheric CO₂.</w:t>
      </w:r>
    </w:p>
    <w:p w14:paraId="5F2DAA05" w14:textId="77777777" w:rsidR="00AA0A34" w:rsidRDefault="00AA0A34" w:rsidP="00AA0A34">
      <w:pPr>
        <w:tabs>
          <w:tab w:val="left" w:pos="720"/>
        </w:tabs>
        <w:ind w:right="90"/>
      </w:pPr>
      <w:r w:rsidRPr="002852FC">
        <w:t>One way to reduce the return step is by traditional land management practices. This</w:t>
      </w:r>
      <w:r>
        <w:t xml:space="preserve"> is an old idea; it doesn't require genetic engineering and it can be implemented in multiple ways. </w:t>
      </w:r>
      <w:r>
        <w:lastRenderedPageBreak/>
        <w:t xml:space="preserve">Examples include no-till farming, which would minimize exposure of buried carbon to atmospheric oxygen; landscape management, which would reduce carbon loss by erosion; </w:t>
      </w:r>
      <w:r w:rsidRPr="00392186">
        <w:t xml:space="preserve">covering bare fields during fallow periods </w:t>
      </w:r>
      <w:r>
        <w:t>with</w:t>
      </w:r>
      <w:r w:rsidRPr="00392186">
        <w:t xml:space="preserve"> legumes and other crops</w:t>
      </w:r>
      <w:r>
        <w:t xml:space="preserve"> (20)</w:t>
      </w:r>
      <w:r w:rsidRPr="00392186">
        <w:t>, and</w:t>
      </w:r>
      <w:r>
        <w:rPr>
          <w:color w:val="000000" w:themeColor="text1"/>
        </w:rPr>
        <w:t xml:space="preserve"> </w:t>
      </w:r>
      <w:r>
        <w:t xml:space="preserve">establishing a forest or stand of trees where none previously existed (afforestation), in order </w:t>
      </w:r>
      <w:r w:rsidRPr="007772D2">
        <w:rPr>
          <w:color w:val="000000" w:themeColor="text1"/>
        </w:rPr>
        <w:t>to expand or create carbon dioxide sinks.</w:t>
      </w:r>
      <w:r>
        <w:rPr>
          <w:color w:val="000000" w:themeColor="text1"/>
        </w:rPr>
        <w:t xml:space="preserve"> The retention of carbon by these and other methods would not only help mitigate the increase in atmospheric carbon, it would also help restore the </w:t>
      </w:r>
      <w:r w:rsidRPr="005D74AD">
        <w:rPr>
          <w:rFonts w:ascii="TradeGothicLTStd" w:hAnsi="TradeGothicLTStd"/>
          <w:b/>
          <w:color w:val="3F3F3F"/>
          <w:sz w:val="22"/>
          <w:szCs w:val="22"/>
        </w:rPr>
        <w:t>~</w:t>
      </w:r>
      <w:r>
        <w:t xml:space="preserve">133 gigatons of soil organic carbon that have been depleted since the start of the agricultural revolution, and thereby contribute to food production and sustainability. </w:t>
      </w:r>
    </w:p>
    <w:p w14:paraId="75E07CD8" w14:textId="77777777" w:rsidR="00AA0A34" w:rsidRDefault="00AA0A34" w:rsidP="00AA0A34">
      <w:pPr>
        <w:tabs>
          <w:tab w:val="left" w:pos="720"/>
        </w:tabs>
        <w:ind w:right="90"/>
      </w:pPr>
    </w:p>
    <w:p w14:paraId="40227469" w14:textId="77777777" w:rsidR="00AA0A34" w:rsidRDefault="00AA0A34" w:rsidP="00AA0A34">
      <w:pPr>
        <w:tabs>
          <w:tab w:val="left" w:pos="720"/>
        </w:tabs>
        <w:ind w:right="90"/>
        <w:rPr>
          <w:color w:val="000000" w:themeColor="text1"/>
        </w:rPr>
      </w:pPr>
      <w:r>
        <w:t xml:space="preserve">Engineering the traits of crops and other plants can augment and amplify traditional approaches to land management, in addition to creating other opportunities for reducing atmospheric carbon. For example, increasing herbicide tolerance </w:t>
      </w:r>
      <w:r>
        <w:rPr>
          <w:color w:val="000000" w:themeColor="text1"/>
        </w:rPr>
        <w:t>will reduce</w:t>
      </w:r>
      <w:r w:rsidRPr="00C424C2">
        <w:rPr>
          <w:color w:val="000000" w:themeColor="text1"/>
        </w:rPr>
        <w:t xml:space="preserve"> </w:t>
      </w:r>
      <w:r>
        <w:rPr>
          <w:color w:val="000000" w:themeColor="text1"/>
        </w:rPr>
        <w:t>the</w:t>
      </w:r>
      <w:r w:rsidRPr="00C424C2">
        <w:rPr>
          <w:color w:val="000000" w:themeColor="text1"/>
        </w:rPr>
        <w:t xml:space="preserve"> </w:t>
      </w:r>
      <w:r>
        <w:rPr>
          <w:color w:val="000000" w:themeColor="text1"/>
        </w:rPr>
        <w:t xml:space="preserve">need </w:t>
      </w:r>
      <w:r w:rsidRPr="00C424C2">
        <w:rPr>
          <w:color w:val="000000" w:themeColor="text1"/>
        </w:rPr>
        <w:t>for tilling as a weed control measure</w:t>
      </w:r>
      <w:r>
        <w:rPr>
          <w:color w:val="000000" w:themeColor="text1"/>
        </w:rPr>
        <w:t xml:space="preserve">; genetically modifying biomass will increase carbon storage; and </w:t>
      </w:r>
      <w:r w:rsidRPr="00392186">
        <w:rPr>
          <w:color w:val="000000" w:themeColor="text1"/>
        </w:rPr>
        <w:t>modifying root architecture and depth will deposit more carbon below</w:t>
      </w:r>
      <w:r>
        <w:rPr>
          <w:color w:val="000000" w:themeColor="text1"/>
        </w:rPr>
        <w:t xml:space="preserve"> </w:t>
      </w:r>
      <w:r w:rsidRPr="00392186">
        <w:rPr>
          <w:color w:val="000000" w:themeColor="text1"/>
        </w:rPr>
        <w:t>ground and stabilize it deeper in the soil, thereby reducing its return to the atmosphere.</w:t>
      </w:r>
    </w:p>
    <w:p w14:paraId="04D8C96C" w14:textId="77777777" w:rsidR="00AA0A34" w:rsidRPr="00392186" w:rsidRDefault="00AA0A34" w:rsidP="00AA0A34">
      <w:pPr>
        <w:spacing w:before="100" w:beforeAutospacing="1" w:after="100" w:afterAutospacing="1"/>
        <w:rPr>
          <w:color w:val="000000" w:themeColor="text1"/>
        </w:rPr>
      </w:pPr>
      <w:r>
        <w:rPr>
          <w:color w:val="000000"/>
        </w:rPr>
        <w:t>The amount of CO</w:t>
      </w:r>
      <w:r w:rsidRPr="000A5310">
        <w:rPr>
          <w:color w:val="000000"/>
          <w:vertAlign w:val="subscript"/>
        </w:rPr>
        <w:t>2</w:t>
      </w:r>
      <w:r>
        <w:rPr>
          <w:color w:val="000000"/>
        </w:rPr>
        <w:t xml:space="preserve"> currently in the atmosphere is only part of the picture—h</w:t>
      </w:r>
      <w:r>
        <w:t xml:space="preserve">uman activities currently release </w:t>
      </w:r>
      <m:oMath>
        <m:r>
          <w:rPr>
            <w:rFonts w:ascii="Cambria Math" w:hAnsi="Cambria Math"/>
          </w:rPr>
          <m:t>~</m:t>
        </m:r>
      </m:oMath>
      <w:r w:rsidRPr="00FB773A">
        <w:rPr>
          <w:color w:val="000000"/>
        </w:rPr>
        <w:t>59 gigatons CO₂-equivalent (GtC</w:t>
      </w:r>
      <w:r>
        <w:rPr>
          <w:color w:val="000000"/>
        </w:rPr>
        <w:t>O</w:t>
      </w:r>
      <w:r w:rsidRPr="00FB773A">
        <w:rPr>
          <w:color w:val="000000"/>
        </w:rPr>
        <w:t>₂-eq) per year</w:t>
      </w:r>
      <w:r>
        <w:rPr>
          <w:color w:val="000000"/>
        </w:rPr>
        <w:t xml:space="preserve"> </w:t>
      </w:r>
      <w:r w:rsidRPr="00FB773A">
        <w:rPr>
          <w:color w:val="000000"/>
        </w:rPr>
        <w:t>(</w:t>
      </w:r>
      <w:r>
        <w:rPr>
          <w:color w:val="000000"/>
        </w:rPr>
        <w:t>21</w:t>
      </w:r>
      <w:r w:rsidRPr="00FB773A">
        <w:rPr>
          <w:color w:val="000000"/>
        </w:rPr>
        <w:t>)</w:t>
      </w:r>
      <w:r>
        <w:rPr>
          <w:b/>
          <w:bCs/>
          <w:color w:val="000000"/>
        </w:rPr>
        <w:t xml:space="preserve">. </w:t>
      </w:r>
      <w:r>
        <w:rPr>
          <w:color w:val="000000" w:themeColor="text1"/>
        </w:rPr>
        <w:t xml:space="preserve">These other GHGs can also be modulated by genetic engineering—for example, modifying crops, especially cereals that feed much of the world, to self-fertilize by fixing atmospheric nitrogen will not only </w:t>
      </w:r>
      <w:r w:rsidRPr="00392186">
        <w:rPr>
          <w:color w:val="000000" w:themeColor="text1"/>
        </w:rPr>
        <w:t>reduce the need for synthetic nitrogen fertilizer</w:t>
      </w:r>
      <w:r>
        <w:rPr>
          <w:color w:val="000000" w:themeColor="text1"/>
        </w:rPr>
        <w:t xml:space="preserve"> but will also reduce the emission of carbon produced during manufacturing and transportation.  </w:t>
      </w:r>
    </w:p>
    <w:p w14:paraId="0BB3EF95" w14:textId="77777777" w:rsidR="00AA0A34" w:rsidRPr="00E4376F" w:rsidRDefault="00AA0A34" w:rsidP="00AA0A34">
      <w:pPr>
        <w:tabs>
          <w:tab w:val="left" w:pos="720"/>
        </w:tabs>
        <w:ind w:right="90"/>
      </w:pPr>
      <w:r>
        <w:t xml:space="preserve">These and other ideas were discussed and analyzed at an international workshop in December 2019, which was attended by thought leaders in atmospheric science, molecular genetics, ethics and plant science, and included two Nobel Laureates. Few of the possibilities discussed and outlined in the conference proceedings (18) have been implemented, but none at scale; and the magnitude of their impact on atmospheric carbon has not been measured. </w:t>
      </w:r>
      <w:r>
        <w:rPr>
          <w:color w:val="000000" w:themeColor="text1"/>
        </w:rPr>
        <w:t xml:space="preserve">Significantly, however, </w:t>
      </w:r>
      <w:r w:rsidRPr="001161F5">
        <w:rPr>
          <w:color w:val="000000" w:themeColor="text1"/>
        </w:rPr>
        <w:t>trees</w:t>
      </w:r>
      <w:r>
        <w:rPr>
          <w:color w:val="000000" w:themeColor="text1"/>
        </w:rPr>
        <w:t>—</w:t>
      </w:r>
      <w:r w:rsidRPr="001161F5">
        <w:rPr>
          <w:color w:val="000000" w:themeColor="text1"/>
        </w:rPr>
        <w:t>which</w:t>
      </w:r>
      <w:r>
        <w:rPr>
          <w:color w:val="000000" w:themeColor="text1"/>
        </w:rPr>
        <w:t xml:space="preserve"> are easily the largest photosynthetic machines in the </w:t>
      </w:r>
      <w:r w:rsidRPr="001161F5">
        <w:rPr>
          <w:color w:val="000000" w:themeColor="text1"/>
        </w:rPr>
        <w:t>biosphere</w:t>
      </w:r>
      <w:r>
        <w:rPr>
          <w:color w:val="000000" w:themeColor="text1"/>
        </w:rPr>
        <w:t>—</w:t>
      </w:r>
      <w:r w:rsidRPr="001161F5">
        <w:rPr>
          <w:color w:val="000000" w:themeColor="text1"/>
        </w:rPr>
        <w:t>can</w:t>
      </w:r>
      <w:r>
        <w:rPr>
          <w:color w:val="000000" w:themeColor="text1"/>
        </w:rPr>
        <w:t xml:space="preserve"> be engineered to convert atmospheric CO</w:t>
      </w:r>
      <w:r w:rsidRPr="003B363E">
        <w:rPr>
          <w:color w:val="000000" w:themeColor="text1"/>
          <w:vertAlign w:val="subscript"/>
        </w:rPr>
        <w:t>2</w:t>
      </w:r>
      <w:r>
        <w:rPr>
          <w:color w:val="000000" w:themeColor="text1"/>
        </w:rPr>
        <w:t xml:space="preserve"> into stable and potentially useful products, not just the carbohydrates that they need to grow and survive.</w:t>
      </w:r>
      <w:r>
        <w:t xml:space="preserve"> </w:t>
      </w:r>
    </w:p>
    <w:p w14:paraId="10FAD537" w14:textId="77777777" w:rsidR="00AA0A34" w:rsidRDefault="00AA0A34" w:rsidP="00AA0A34"/>
    <w:p w14:paraId="01D2474C" w14:textId="77777777" w:rsidR="00AA0A34" w:rsidRPr="00522155" w:rsidRDefault="00AA0A34" w:rsidP="00AA0A34">
      <w:pPr>
        <w:rPr>
          <w:b/>
          <w:bCs/>
        </w:rPr>
      </w:pPr>
      <w:r>
        <w:rPr>
          <w:b/>
          <w:bCs/>
        </w:rPr>
        <w:t xml:space="preserve">Engineered </w:t>
      </w:r>
      <w:r w:rsidRPr="00522155">
        <w:rPr>
          <w:b/>
          <w:bCs/>
        </w:rPr>
        <w:t>Trees for Construction: A Double Win</w:t>
      </w:r>
    </w:p>
    <w:p w14:paraId="7B05D771" w14:textId="77777777" w:rsidR="00AA0A34" w:rsidRDefault="00AA0A34" w:rsidP="00AA0A34">
      <w:r w:rsidRPr="00CA5DDE">
        <w:t>Trees could play a dual role in climate mitigation if they were engineered to produce wood strong enough to substitute for steel and concrete in construction. In such a system, plantations would be grown and cyclically harvested, with the harvested timber incorporated into long-lived buildings. This approach has two advantages. First, continuously growing forests absorb atmospheric carbon and store it in wood products that can persist for decades. Second, it reduces reliance on cement and steel production—industries that emit large quantities of carbon dioxide, ~1 ton of CO₂ per ton of cement and ~1.6–2 tons per ton of steel.</w:t>
      </w:r>
      <w:r w:rsidRPr="006842EB">
        <w:t xml:space="preserve"> </w:t>
      </w:r>
    </w:p>
    <w:p w14:paraId="2A270A08" w14:textId="77777777" w:rsidR="00AA0A34" w:rsidRDefault="00AA0A34" w:rsidP="00AA0A34"/>
    <w:p w14:paraId="36B8A8C0" w14:textId="77777777" w:rsidR="00AA0A34" w:rsidRDefault="00AA0A34" w:rsidP="00AA0A34">
      <w:r w:rsidRPr="006842EB">
        <w:t>The case for replacing a portion of concrete and steel construction with engineered wood</w:t>
      </w:r>
      <w:r>
        <w:t xml:space="preserve"> (22)</w:t>
      </w:r>
      <w:r w:rsidRPr="006842EB">
        <w:t xml:space="preserve"> is already well established in the mass-timber literature. Life-cycle assessments of buildings constructed with cross-laminated timber (CLT) and related engineered wood products show reductions in global warming potential of roughly 39–51% relative to reinforced concrete and 28–34% relative to structural steel. When biogenic carbon stored in the wood is included in the </w:t>
      </w:r>
      <w:r w:rsidRPr="006842EB">
        <w:lastRenderedPageBreak/>
        <w:t>accounting, the reductions can reach 81–94% relative to concrete.</w:t>
      </w:r>
      <w:r>
        <w:t xml:space="preserve"> This demonstrates both the feasibility and importance of replacing steel and concrete by wood for construction.</w:t>
      </w:r>
    </w:p>
    <w:p w14:paraId="652EB167" w14:textId="77777777" w:rsidR="00AA0A34" w:rsidRDefault="00AA0A34" w:rsidP="00AA0A34"/>
    <w:p w14:paraId="4B58AC96" w14:textId="77777777" w:rsidR="00AA0A34" w:rsidRPr="00CA5DDE" w:rsidRDefault="00AA0A34" w:rsidP="00AA0A34">
      <w:pPr>
        <w:spacing w:after="120"/>
        <w:ind w:right="-90"/>
        <w:rPr>
          <w:color w:val="000000"/>
        </w:rPr>
      </w:pPr>
      <w:r w:rsidRPr="00D1548F">
        <w:rPr>
          <w:color w:val="000000"/>
        </w:rPr>
        <w:t>While CLT demonstrates that wood can replace concrete and steel in many mid-rise structures, broader substitution remains limited by the mechanical properties of conventional timber. These limits, however, can be overcome by partially removing lignin and then compressing the remaining cellulose-rich structure, increasing density by as much as five-fold (23). In laboratory studies, this densified material exhibits tensile strengths of roughly 313–580 MPa—comparable to some structural metals. Although the process currently requires chemical pretreatment followed by hot pressing, genetic engineering offers a potential route to move part of that processing into the biology of the tree itself</w:t>
      </w:r>
      <w:r>
        <w:rPr>
          <w:color w:val="000000"/>
        </w:rPr>
        <w:t xml:space="preserve">. </w:t>
      </w:r>
      <w:r w:rsidRPr="00CA5DDE">
        <w:rPr>
          <w:color w:val="000000"/>
        </w:rPr>
        <w:t xml:space="preserve">For example, </w:t>
      </w:r>
      <w:r>
        <w:rPr>
          <w:color w:val="000000"/>
        </w:rPr>
        <w:t xml:space="preserve">DNA </w:t>
      </w:r>
      <w:r w:rsidRPr="00CA5DDE">
        <w:rPr>
          <w:color w:val="000000"/>
        </w:rPr>
        <w:t>base-editing techniques ha</w:t>
      </w:r>
      <w:r>
        <w:rPr>
          <w:color w:val="000000"/>
        </w:rPr>
        <w:t>ve</w:t>
      </w:r>
      <w:r w:rsidRPr="00CA5DDE">
        <w:rPr>
          <w:color w:val="000000"/>
        </w:rPr>
        <w:t xml:space="preserve"> been used to generate poplar lines with substantially reduced lignin content (2</w:t>
      </w:r>
      <w:r>
        <w:rPr>
          <w:color w:val="000000"/>
        </w:rPr>
        <w:t>4, 25</w:t>
      </w:r>
      <w:r w:rsidRPr="00CA5DDE">
        <w:rPr>
          <w:color w:val="000000"/>
        </w:rPr>
        <w:t>). Trees that are biologically predisposed to produce lower-lignin wood could be more easily densified during processing, potentially eliminating the need for harsh chemical treatments.</w:t>
      </w:r>
    </w:p>
    <w:p w14:paraId="23E1CD1D" w14:textId="77777777" w:rsidR="00AA0A34" w:rsidRPr="00546689" w:rsidRDefault="00AA0A34" w:rsidP="00AA0A34">
      <w:pPr>
        <w:spacing w:after="120"/>
      </w:pPr>
      <w:r>
        <w:t xml:space="preserve">Significantly, </w:t>
      </w:r>
      <w:proofErr w:type="spellStart"/>
      <w:r>
        <w:t>transgenically</w:t>
      </w:r>
      <w:proofErr w:type="spellEnd"/>
      <w:r>
        <w:t xml:space="preserve"> modified eucalyptus trees with faster growth rates and yields have already been approved for commercialization (26). In addition, a </w:t>
      </w:r>
      <w:r w:rsidRPr="00546689">
        <w:t xml:space="preserve">triple-stacked </w:t>
      </w:r>
      <w:r>
        <w:t>genetically modified (GM)</w:t>
      </w:r>
      <w:r w:rsidRPr="00546689">
        <w:t xml:space="preserve"> eucalyptus — combining yield enhancement, herbicide tolerance, and insect resistance in a single variety</w:t>
      </w:r>
      <w:r>
        <w:t>—has been successfully developed. Although the</w:t>
      </w:r>
      <w:r w:rsidRPr="00546689">
        <w:t xml:space="preserve"> eucalyptus varieties are optimized for fast-growing fiber yield, not dense structural wood properties</w:t>
      </w:r>
      <w:r>
        <w:t xml:space="preserve">, </w:t>
      </w:r>
      <w:r w:rsidRPr="00546689">
        <w:t>the yield-enhancement and plantation management infrastructure is exactly what a construction-timber application would need to scale.</w:t>
      </w:r>
    </w:p>
    <w:p w14:paraId="2886841D" w14:textId="77777777" w:rsidR="00AA0A34" w:rsidRDefault="00AA0A34" w:rsidP="00AA0A34">
      <w:pPr>
        <w:pStyle w:val="NormalWeb"/>
        <w:rPr>
          <w:color w:val="000000"/>
        </w:rPr>
      </w:pPr>
      <w:r>
        <w:t>The potential CO</w:t>
      </w:r>
      <w:r>
        <w:rPr>
          <w:vertAlign w:val="subscript"/>
        </w:rPr>
        <w:t>2</w:t>
      </w:r>
      <w:r>
        <w:t xml:space="preserve"> drawdown possibilities are remarkable. </w:t>
      </w:r>
      <w:r>
        <w:rPr>
          <w:color w:val="000000"/>
        </w:rPr>
        <w:t>Lawrence Berkeley and Oak Ridge National Laboratories have analyzed strategies for enhancing biological carbon sequestration through transgenic modification of trees, focusing particularly on fast-growing species such as poplar. Their analyses suggest that large-scale deployment of enhanced forests could remove several billion tons of carbon dioxide from the atmosphere annually through a combination of increased photosynthetic efficiency and altered carbon allocation within plants.</w:t>
      </w:r>
    </w:p>
    <w:p w14:paraId="4B871750" w14:textId="77777777" w:rsidR="00AA0A34" w:rsidRDefault="00AA0A34" w:rsidP="00AA0A34">
      <w:pPr>
        <w:pStyle w:val="NormalWeb"/>
        <w:rPr>
          <w:color w:val="000000"/>
        </w:rPr>
      </w:pPr>
      <w:r>
        <w:rPr>
          <w:color w:val="000000"/>
        </w:rPr>
        <w:t>Although each of the elements needed to reduce reliance on steel and concrete in construction while simultaneously drawing down atmospheric carbon dioxide is already in place, they have not yet been combined into a development pipeline targeting genetically engineered trees optimized for structural wood density and long-term carbon storage in buildings grown in managed plantations on a cyclical harvest-and-replace basis.</w:t>
      </w:r>
    </w:p>
    <w:p w14:paraId="18963C8B" w14:textId="77777777" w:rsidR="00AA0A34" w:rsidRPr="00A53715" w:rsidRDefault="00AA0A34" w:rsidP="00AA0A34">
      <w:pPr>
        <w:pStyle w:val="NormalWeb"/>
        <w:rPr>
          <w:color w:val="000000"/>
        </w:rPr>
      </w:pPr>
      <w:r>
        <w:rPr>
          <w:color w:val="000000"/>
        </w:rPr>
        <w:t xml:space="preserve">The missing actor is an organization capable of bridging tree genetics, structural materials science, and the construction industry's supply-chain requirements. It represents a significant commercial opportunity that </w:t>
      </w:r>
      <w:r w:rsidRPr="00A53715">
        <w:rPr>
          <w:color w:val="000000"/>
        </w:rPr>
        <w:t>remains largely unclaimed</w:t>
      </w:r>
    </w:p>
    <w:p w14:paraId="569D6A39" w14:textId="77777777" w:rsidR="00AA0A34" w:rsidRDefault="00AA0A34" w:rsidP="00AA0A34">
      <w:pPr>
        <w:pStyle w:val="NormalWeb"/>
        <w:rPr>
          <w:b/>
          <w:bCs/>
          <w:color w:val="000000"/>
        </w:rPr>
      </w:pPr>
      <w:r w:rsidRPr="00E311F0">
        <w:rPr>
          <w:b/>
          <w:bCs/>
          <w:color w:val="000000"/>
        </w:rPr>
        <w:t xml:space="preserve">An Agrogenomics Trifecta </w:t>
      </w:r>
    </w:p>
    <w:p w14:paraId="700102B7" w14:textId="77777777" w:rsidR="00AA0A34" w:rsidRPr="00E311F0" w:rsidRDefault="00AA0A34" w:rsidP="00AA0A34">
      <w:pPr>
        <w:pStyle w:val="NormalWeb"/>
        <w:spacing w:before="0" w:beforeAutospacing="0" w:after="0" w:afterAutospacing="0"/>
        <w:ind w:right="144"/>
        <w:rPr>
          <w:b/>
          <w:bCs/>
          <w:color w:val="000000"/>
        </w:rPr>
      </w:pPr>
      <w:r w:rsidRPr="00156FD9">
        <w:t>Agricultural genomics has many other potential benefits</w:t>
      </w:r>
      <w:r>
        <w:t>. It's easy to foresee better land utilization, increased crop yields, hardier crops</w:t>
      </w:r>
      <w:r w:rsidRPr="000C06F1">
        <w:t xml:space="preserve"> </w:t>
      </w:r>
      <w:r>
        <w:t xml:space="preserve">resistant to temperature changes, and many other advances that will contribute to both mitigation and adaptation. The former means reducing carbon emissions or pulling carbon out of the atmosphere; the latter means bolstering agriculture against changes in climate, such as by engineering crops able to resist drought or </w:t>
      </w:r>
      <w:r>
        <w:lastRenderedPageBreak/>
        <w:t xml:space="preserve">changes in temperature. The two are not mutually exclusive; e.g. covering fields during fallow periods with crops engineered with reduced requirements for nitrogen would be a step toward mitigation by reducing carbon emissions from soil, while simultaneously minimizing the use of synthetic nitrogen. </w:t>
      </w:r>
      <w:r w:rsidRPr="00156FD9">
        <w:t xml:space="preserve">And </w:t>
      </w:r>
      <w:r>
        <w:t>it's possible</w:t>
      </w:r>
      <w:r w:rsidRPr="00156FD9">
        <w:t xml:space="preserve"> </w:t>
      </w:r>
      <w:r>
        <w:t xml:space="preserve">to </w:t>
      </w:r>
      <w:r w:rsidRPr="00156FD9">
        <w:t>go even further</w:t>
      </w:r>
      <w:r>
        <w:t xml:space="preserve"> </w:t>
      </w:r>
      <w:r w:rsidRPr="00156FD9">
        <w:t>by engineering the same crops for robustness against change</w:t>
      </w:r>
      <w:r>
        <w:t>s</w:t>
      </w:r>
      <w:r w:rsidRPr="00156FD9">
        <w:t xml:space="preserve"> in temperature.</w:t>
      </w:r>
    </w:p>
    <w:p w14:paraId="71D229E7" w14:textId="77777777" w:rsidR="00AA0A34" w:rsidRDefault="00AA0A34" w:rsidP="00AA0A34">
      <w:pPr>
        <w:tabs>
          <w:tab w:val="left" w:pos="720"/>
        </w:tabs>
        <w:ind w:right="90"/>
      </w:pPr>
    </w:p>
    <w:p w14:paraId="269E73D6" w14:textId="77777777" w:rsidR="00AA0A34" w:rsidRDefault="00AA0A34" w:rsidP="00AA0A34">
      <w:pPr>
        <w:tabs>
          <w:tab w:val="left" w:pos="720"/>
        </w:tabs>
        <w:ind w:right="90"/>
      </w:pPr>
      <w:r w:rsidRPr="000907F1">
        <w:t>Finally, agricultural genomics holds potential for new drug leads. Since historically—until the advent of synthetic chemistry—most drugs were derived from plants, we can reasonably expect that a step change in agricultural genomics will substantially increase the number of new drugs and options for ameliorating conditions that currently lack effective treatments. Taken together, better land management, amplified by the application of genomic technologies, can be a multi win strategy—one that mitigates climate change, restores soil carbon</w:t>
      </w:r>
      <w:r>
        <w:t>,</w:t>
      </w:r>
      <w:r w:rsidRPr="000907F1">
        <w:t xml:space="preserve"> and stimulates agricultural biotechnology—with accompanying health and economic benefits that can surpass even the benefits of the Human Genome Project. </w:t>
      </w:r>
    </w:p>
    <w:p w14:paraId="27CEA865" w14:textId="77777777" w:rsidR="00AA0A34" w:rsidRDefault="00AA0A34" w:rsidP="00AA0A34">
      <w:pPr>
        <w:tabs>
          <w:tab w:val="left" w:pos="720"/>
        </w:tabs>
        <w:ind w:right="90"/>
      </w:pPr>
    </w:p>
    <w:p w14:paraId="3E1EE164" w14:textId="77777777" w:rsidR="00AA0A34" w:rsidRDefault="00AA0A34" w:rsidP="00AA0A34">
      <w:pPr>
        <w:tabs>
          <w:tab w:val="left" w:pos="720"/>
        </w:tabs>
        <w:ind w:right="90"/>
      </w:pPr>
      <w:r>
        <w:t xml:space="preserve">If the United States were to make a commitment to a well-funded agrogenomics approach to carbon drawdown, the benefits would be so substantial that other countries would soon follow for fear of being left behind. This was true of the Human Genome Project, the space program, and the Manhattan Project, and it will be equally true of an agrogenomics drawdown project. </w:t>
      </w:r>
    </w:p>
    <w:p w14:paraId="41B983BB" w14:textId="77777777" w:rsidR="00AA0A34" w:rsidRPr="00E311F0" w:rsidRDefault="00AA0A34" w:rsidP="00AA0A34">
      <w:pPr>
        <w:tabs>
          <w:tab w:val="left" w:pos="720"/>
        </w:tabs>
        <w:ind w:right="90"/>
      </w:pPr>
    </w:p>
    <w:p w14:paraId="04FF84F0" w14:textId="77777777" w:rsidR="00AA0A34" w:rsidRDefault="00AA0A34" w:rsidP="00AA0A34">
      <w:pPr>
        <w:tabs>
          <w:tab w:val="left" w:pos="720"/>
        </w:tabs>
        <w:ind w:right="90"/>
        <w:rPr>
          <w:b/>
          <w:bCs/>
        </w:rPr>
      </w:pPr>
      <w:r w:rsidRPr="00A22F8F">
        <w:rPr>
          <w:b/>
          <w:bCs/>
        </w:rPr>
        <w:t>Photosynthesis</w:t>
      </w:r>
    </w:p>
    <w:p w14:paraId="599BA328" w14:textId="77777777" w:rsidR="00AA0A34" w:rsidRPr="00A22F8F" w:rsidRDefault="00AA0A34" w:rsidP="00AA0A34">
      <w:pPr>
        <w:tabs>
          <w:tab w:val="left" w:pos="720"/>
        </w:tabs>
        <w:ind w:right="90"/>
        <w:rPr>
          <w:b/>
          <w:bCs/>
        </w:rPr>
      </w:pPr>
      <w:r>
        <w:rPr>
          <w:color w:val="000000"/>
        </w:rPr>
        <w:t>Although the Sun is the ultimate source of energy for all life on Earth, only photosynthetic organisms—plants, algae, and certain bacteria—possess the molecular machinery required to convert it into the chemical energy that enables life (27). Remarkably, these organisms have evolved an extremely complex set of reactions that, in the presence of sunlight and water, synthesize carbohydrates from atmospheric carbon dioxide while releasing oxygen as a by-product. The central carbon-fixing reactions of photosynthesis occur in the Calvin–Benson cycle, which generates the molecular building blocks from which carbohydrates are assembled.</w:t>
      </w:r>
    </w:p>
    <w:p w14:paraId="42CF29AC" w14:textId="77777777" w:rsidR="00AA0A34" w:rsidRDefault="00AA0A34" w:rsidP="00AA0A34">
      <w:pPr>
        <w:pStyle w:val="NormalWeb"/>
        <w:rPr>
          <w:color w:val="000000"/>
        </w:rPr>
      </w:pPr>
      <w:r w:rsidRPr="0008057C">
        <w:rPr>
          <w:color w:val="000000"/>
        </w:rPr>
        <w:t>This process is, however,  remarkably inefficient. The key enzyme responsible for carbon fixation, ribulose-1,5-bisphosphate carboxylase/oxygenase (RuBisCO), operates far more slowly than most enzymes, and  discriminates poorly between carbon dioxide and oxygen. When oxygen competes successfully for the enzyme’s active site, RuBisCO catalyzes a reaction that produces a toxic compound which must be recycled through the energy-consuming photorespiration pathway. Because energy is expended and fewer carbon atoms are fixed per cycle, most plants—those using the standard C3 photosynthetic pathway, which constitute roughly 80–90% of plant species—lose on the order of 20–30% of their potential photosynthetic efficiency unless they have evolved specialized adaptations such as the C4 or CAM pathways (2</w:t>
      </w:r>
      <w:r>
        <w:rPr>
          <w:color w:val="000000"/>
        </w:rPr>
        <w:t>8</w:t>
      </w:r>
      <w:r w:rsidRPr="0008057C">
        <w:rPr>
          <w:color w:val="000000"/>
        </w:rPr>
        <w:t>).</w:t>
      </w:r>
    </w:p>
    <w:p w14:paraId="207E73CB" w14:textId="77777777" w:rsidR="00AA0A34" w:rsidRDefault="00AA0A34" w:rsidP="00AA0A34">
      <w:pPr>
        <w:pStyle w:val="NormalWeb"/>
        <w:rPr>
          <w:color w:val="000000"/>
        </w:rPr>
      </w:pPr>
      <w:r>
        <w:rPr>
          <w:color w:val="000000"/>
        </w:rPr>
        <w:t xml:space="preserve">Engineering RuBisCO in major C3 crops such as wheat or rice to increase its speed and specificity would therefore be a double win: atmospheric carbon drawdown and crop yield per growing cycle would both increase. </w:t>
      </w:r>
      <w:r w:rsidRPr="007C30A2">
        <w:rPr>
          <w:color w:val="000000"/>
        </w:rPr>
        <w:t>Improving RuBisCO performance in trees could have an even larger cumulative impact because forests constitute one of the largest photosynthetic systems in the terrestrial biosphere (</w:t>
      </w:r>
      <w:r>
        <w:rPr>
          <w:color w:val="000000"/>
        </w:rPr>
        <w:t>29)</w:t>
      </w:r>
      <w:r w:rsidRPr="0087316F">
        <w:rPr>
          <w:b/>
          <w:bCs/>
          <w:color w:val="000000"/>
        </w:rPr>
        <w:t>.</w:t>
      </w:r>
      <w:r>
        <w:rPr>
          <w:color w:val="000000"/>
        </w:rPr>
        <w:t xml:space="preserve"> Unfortunately evolution appears to have placed the enzyme near a biochemical trade-off frontier: variants with higher catalytic turnover (k</w:t>
      </w:r>
      <w:r w:rsidRPr="00D700E8">
        <w:rPr>
          <w:color w:val="000000"/>
          <w:vertAlign w:val="subscript"/>
        </w:rPr>
        <w:t>cat</w:t>
      </w:r>
      <w:r>
        <w:rPr>
          <w:color w:val="000000"/>
        </w:rPr>
        <w:t xml:space="preserve">) </w:t>
      </w:r>
      <w:r>
        <w:rPr>
          <w:color w:val="000000"/>
        </w:rPr>
        <w:lastRenderedPageBreak/>
        <w:t>typically show reduced specificity for CO₂ over O₂ (30), while highly specific enzymes tend to operate more slowly.</w:t>
      </w:r>
    </w:p>
    <w:p w14:paraId="2E2CF116" w14:textId="77777777" w:rsidR="00AA0A34" w:rsidRDefault="00AA0A34" w:rsidP="00AA0A34">
      <w:pPr>
        <w:pStyle w:val="NormalWeb"/>
        <w:rPr>
          <w:color w:val="000000"/>
        </w:rPr>
      </w:pPr>
      <w:r w:rsidRPr="008A68CF">
        <w:rPr>
          <w:color w:val="000000"/>
        </w:rPr>
        <w:t>Although this inverse relationship between catalytic rate and specificity is well established, it does not rule out variants that perform better on both metrics. The relationship between k</w:t>
      </w:r>
      <w:r w:rsidRPr="00BE3F7A">
        <w:rPr>
          <w:color w:val="000000"/>
          <w:vertAlign w:val="subscript"/>
        </w:rPr>
        <w:t>cat</w:t>
      </w:r>
      <w:r w:rsidRPr="008A68CF">
        <w:rPr>
          <w:color w:val="000000"/>
        </w:rPr>
        <w:t xml:space="preserve"> and specificity (Sc/o) is a statistical pattern observed across known species rather than a strict biochemical constraint. Some naturally occurring enzymes already occupy more favorable positions in this landscape. For example, the RuBisCO found in certain red algae, such as Galdieria sulphuraria, combines high catalytic speed with high CO₂ specificity. By comparison, the enzyme in many crop plants occupies a more moderate position on both parameters.</w:t>
      </w:r>
      <w:r>
        <w:rPr>
          <w:color w:val="000000"/>
        </w:rPr>
        <w:t xml:space="preserve"> </w:t>
      </w:r>
    </w:p>
    <w:p w14:paraId="0D29B7A1" w14:textId="77777777" w:rsidR="00AA0A34" w:rsidRDefault="00AA0A34" w:rsidP="00AA0A34">
      <w:pPr>
        <w:pStyle w:val="NormalWeb"/>
        <w:rPr>
          <w:color w:val="000000"/>
        </w:rPr>
      </w:pPr>
      <w:r>
        <w:rPr>
          <w:color w:val="000000"/>
        </w:rPr>
        <w:t>This observation is important for two reasons. First, it provides an existence proof that improved enzymes are possible within the known biochemical landscape. Second, it suggests a potential engineering strategy: replacing or redesigning inefficient plant RuBisCO with variants derived from more efficient organisms such as red algae. Both approaches—direct enzyme engineering and enzyme transplantation—are currently being explored.</w:t>
      </w:r>
    </w:p>
    <w:p w14:paraId="14765EC7" w14:textId="77777777" w:rsidR="00AA0A34" w:rsidRDefault="00AA0A34" w:rsidP="00AA0A34">
      <w:pPr>
        <w:pStyle w:val="NormalWeb"/>
        <w:rPr>
          <w:color w:val="000000"/>
        </w:rPr>
      </w:pPr>
      <w:r>
        <w:rPr>
          <w:color w:val="000000"/>
        </w:rPr>
        <w:t>Engineering RuBisCo for improved catalytic performance is, in principle, well suited to modern genomics and machine learning approaches. The enzyme is large (about 550 kDa, or roughly 550,000 times the mass of a hydrogen atom) and complex, comprising eight large and eight small subunits. Nevertheless, and perhaps more importantly, tens of thousands of sequences have been identified across plants, algae, and microbes—and they are widely catalogued. What remains comparatively scarce are experimentally measured k</w:t>
      </w:r>
      <w:r w:rsidRPr="00D700E8">
        <w:rPr>
          <w:color w:val="000000"/>
          <w:vertAlign w:val="subscript"/>
        </w:rPr>
        <w:t>cat</w:t>
      </w:r>
      <w:r>
        <w:rPr>
          <w:color w:val="000000"/>
        </w:rPr>
        <w:t xml:space="preserve"> and S</w:t>
      </w:r>
      <w:r w:rsidRPr="00D700E8">
        <w:rPr>
          <w:color w:val="000000"/>
          <w:vertAlign w:val="subscript"/>
        </w:rPr>
        <w:t>c/o</w:t>
      </w:r>
      <w:r>
        <w:rPr>
          <w:color w:val="000000"/>
        </w:rPr>
        <w:t xml:space="preserve"> for each sequence. With a sufficiently large dataset linking DNA sequence to enzyme performance, machine-learning methods could in principle identify sequence features that predict improved catalytic behavior. </w:t>
      </w:r>
    </w:p>
    <w:p w14:paraId="1C1EB01E" w14:textId="77777777" w:rsidR="00AA0A34" w:rsidRDefault="00AA0A34" w:rsidP="00AA0A34">
      <w:pPr>
        <w:pStyle w:val="NormalWeb"/>
        <w:rPr>
          <w:color w:val="000000"/>
        </w:rPr>
      </w:pPr>
      <w:r>
        <w:rPr>
          <w:color w:val="000000"/>
        </w:rPr>
        <w:t xml:space="preserve">The remaining challenges are largely experimental. RuBisCo engineering generally requires modifying both its large and small subunits. The genes encoding the large subunits reside in the chloroplast genome, while those encoding the small subunits are located in the nuclear genome. A single plant cell can contain dozens to hundreds of chloroplasts, and each chloroplast can carry dozens to hundreds of copies of its genome. When a chloroplast gene is modified, most of the remaining genome copies still contain the original sequence. </w:t>
      </w:r>
      <w:r w:rsidRPr="007B7937">
        <w:rPr>
          <w:color w:val="000000"/>
        </w:rPr>
        <w:t>Achieving</w:t>
      </w:r>
      <w:r w:rsidRPr="007B7937">
        <w:t> </w:t>
      </w:r>
      <w:proofErr w:type="spellStart"/>
      <w:r w:rsidRPr="007B7937">
        <w:t>homoplasmy</w:t>
      </w:r>
      <w:proofErr w:type="spellEnd"/>
      <w:r w:rsidRPr="007B7937">
        <w:rPr>
          <w:color w:val="000000"/>
        </w:rPr>
        <w:t>—the state in which every chloroplast genome copy carries the engineered sequence—can therefore require multiple generations of selection.</w:t>
      </w:r>
      <w:r>
        <w:rPr>
          <w:color w:val="000000"/>
        </w:rPr>
        <w:t xml:space="preserve"> </w:t>
      </w:r>
    </w:p>
    <w:p w14:paraId="60572EBC" w14:textId="77777777" w:rsidR="00AA0A34" w:rsidRDefault="00AA0A34" w:rsidP="00AA0A34">
      <w:pPr>
        <w:pStyle w:val="NormalWeb"/>
        <w:rPr>
          <w:color w:val="000000"/>
        </w:rPr>
      </w:pPr>
      <w:r>
        <w:rPr>
          <w:color w:val="000000"/>
        </w:rPr>
        <w:t>RuBisCo also does not fold or assemble spontaneously. Its large and small subunits must be assisted by a specialized set of chaperone proteins that guide folding and assembly of the enzyme’s eight-by-eight subunit structure. Many of these helper proteins are encoded in different cellular compartments and have co-evolved with the host enzyme. When RuBisCo from one species is expressed in another, incompatibility with the host’s chaperone system can prevent proper assembly, producing inactive enzymes.</w:t>
      </w:r>
    </w:p>
    <w:p w14:paraId="0BA8D936" w14:textId="77777777" w:rsidR="00AA0A34" w:rsidRDefault="00AA0A34" w:rsidP="00AA0A34">
      <w:pPr>
        <w:pStyle w:val="NormalWeb"/>
        <w:rPr>
          <w:color w:val="000000"/>
        </w:rPr>
      </w:pPr>
      <w:r>
        <w:rPr>
          <w:color w:val="000000"/>
        </w:rPr>
        <w:t xml:space="preserve">A further complication is that RuBisCo operates within a tightly regulated biochemical environment inside the chloroplast. Its activity depends on additional regulatory proteins, including RuBisCo activase, and on the local concentrations of substrates and inhibitors produced by the Calvin–Benson cycle. Introducing a faster enzyme without coordinating these </w:t>
      </w:r>
      <w:r>
        <w:rPr>
          <w:color w:val="000000"/>
        </w:rPr>
        <w:lastRenderedPageBreak/>
        <w:t>regulatory components can create metabolic imbalances that reduce rather than improve photosynthetic efficiency.</w:t>
      </w:r>
    </w:p>
    <w:p w14:paraId="67A1AA35" w14:textId="77777777" w:rsidR="00AA0A34" w:rsidRDefault="00AA0A34" w:rsidP="00AA0A34">
      <w:pPr>
        <w:pStyle w:val="NormalWeb"/>
        <w:spacing w:before="0" w:beforeAutospacing="0" w:after="60" w:afterAutospacing="0"/>
        <w:rPr>
          <w:color w:val="000000"/>
        </w:rPr>
      </w:pPr>
      <w:r>
        <w:rPr>
          <w:color w:val="000000"/>
        </w:rPr>
        <w:t xml:space="preserve">Finally, many photosynthetic organisms that possess particularly efficient RuBisCo enzymes also employ auxiliary mechanisms to concentrate carbon dioxide around the enzyme. Cyanobacteria, for example, enclose RuBisCo within protein microcompartments known as carboxysomes, while many algae operate biochemical CO₂-concentrating cycles. These systems suppress the competing oxygenation reaction and thereby enhance overall carbon fixation. </w:t>
      </w:r>
      <w:r w:rsidRPr="00BF5FE2">
        <w:rPr>
          <w:color w:val="000000"/>
        </w:rPr>
        <w:t>Engineering such mechanisms, or bypassing photorespiration through alternative metabolic pathways, has already been shown to increase plant productivity in field experiments </w:t>
      </w:r>
      <w:r w:rsidRPr="00827430">
        <w:rPr>
          <w:color w:val="000000"/>
        </w:rPr>
        <w:t>(</w:t>
      </w:r>
      <w:r>
        <w:rPr>
          <w:color w:val="000000"/>
        </w:rPr>
        <w:t>31</w:t>
      </w:r>
      <w:r w:rsidRPr="00827430">
        <w:rPr>
          <w:color w:val="000000"/>
        </w:rPr>
        <w:t>).</w:t>
      </w:r>
      <w:r>
        <w:rPr>
          <w:color w:val="000000"/>
        </w:rPr>
        <w:t xml:space="preserve"> Reproducing even part of such concentrating mechanisms in crop plants represents an additional engineering frontier that could amplify the benefits of improved RuBisCo variants.</w:t>
      </w:r>
    </w:p>
    <w:p w14:paraId="400B98EF" w14:textId="77777777" w:rsidR="00AA0A34" w:rsidRDefault="00AA0A34" w:rsidP="00AA0A34">
      <w:pPr>
        <w:pStyle w:val="NormalWeb"/>
        <w:rPr>
          <w:color w:val="000000"/>
        </w:rPr>
      </w:pPr>
      <w:r>
        <w:rPr>
          <w:color w:val="000000"/>
        </w:rPr>
        <w:t>The m</w:t>
      </w:r>
      <w:r w:rsidRPr="00C133A0">
        <w:rPr>
          <w:color w:val="000000"/>
        </w:rPr>
        <w:t>olecular engineering of RuBisC</w:t>
      </w:r>
      <w:r>
        <w:rPr>
          <w:color w:val="000000"/>
        </w:rPr>
        <w:t>o</w:t>
      </w:r>
      <w:r w:rsidRPr="00C133A0">
        <w:rPr>
          <w:color w:val="000000"/>
        </w:rPr>
        <w:t xml:space="preserve"> is only one among a number of potential </w:t>
      </w:r>
      <w:r>
        <w:rPr>
          <w:color w:val="000000"/>
        </w:rPr>
        <w:t>paths</w:t>
      </w:r>
      <w:r w:rsidRPr="00C133A0">
        <w:rPr>
          <w:color w:val="000000"/>
        </w:rPr>
        <w:t xml:space="preserve"> to</w:t>
      </w:r>
      <w:r>
        <w:rPr>
          <w:color w:val="000000"/>
        </w:rPr>
        <w:t>ward</w:t>
      </w:r>
      <w:r w:rsidRPr="00C133A0">
        <w:rPr>
          <w:color w:val="000000"/>
        </w:rPr>
        <w:t xml:space="preserve"> increase</w:t>
      </w:r>
      <w:r>
        <w:rPr>
          <w:color w:val="000000"/>
        </w:rPr>
        <w:t>d</w:t>
      </w:r>
      <w:r w:rsidRPr="00C133A0">
        <w:rPr>
          <w:color w:val="000000"/>
        </w:rPr>
        <w:t xml:space="preserve"> photosynthetic efficiency. </w:t>
      </w:r>
      <w:r>
        <w:rPr>
          <w:color w:val="000000"/>
        </w:rPr>
        <w:t>Another</w:t>
      </w:r>
      <w:r w:rsidRPr="00C133A0">
        <w:rPr>
          <w:color w:val="000000"/>
        </w:rPr>
        <w:t xml:space="preserve"> </w:t>
      </w:r>
      <w:r>
        <w:rPr>
          <w:color w:val="000000"/>
        </w:rPr>
        <w:t>method</w:t>
      </w:r>
      <w:r w:rsidRPr="00C133A0">
        <w:rPr>
          <w:color w:val="000000"/>
        </w:rPr>
        <w:t xml:space="preserve"> mitigate</w:t>
      </w:r>
      <w:r>
        <w:rPr>
          <w:color w:val="000000"/>
        </w:rPr>
        <w:t>s</w:t>
      </w:r>
      <w:r w:rsidRPr="00C133A0">
        <w:rPr>
          <w:color w:val="000000"/>
        </w:rPr>
        <w:t xml:space="preserve"> losses inherent in photorespiration </w:t>
      </w:r>
      <w:r>
        <w:rPr>
          <w:color w:val="000000"/>
        </w:rPr>
        <w:t>b</w:t>
      </w:r>
      <w:r w:rsidRPr="00C133A0">
        <w:rPr>
          <w:color w:val="000000"/>
        </w:rPr>
        <w:t>y introducing engineered bypasses</w:t>
      </w:r>
      <w:r>
        <w:rPr>
          <w:color w:val="000000"/>
        </w:rPr>
        <w:t>.</w:t>
      </w:r>
      <w:r w:rsidRPr="00C133A0">
        <w:rPr>
          <w:color w:val="000000"/>
        </w:rPr>
        <w:t xml:space="preserve"> </w:t>
      </w:r>
      <w:r>
        <w:rPr>
          <w:color w:val="000000"/>
        </w:rPr>
        <w:t xml:space="preserve">For example, a pathway called </w:t>
      </w:r>
      <w:r w:rsidRPr="001B6A6C">
        <w:rPr>
          <w:rStyle w:val="Strong"/>
          <w:rFonts w:eastAsia="MS Mincho"/>
          <w:b w:val="0"/>
          <w:bCs w:val="0"/>
          <w:color w:val="000000"/>
        </w:rPr>
        <w:t>TaCo</w:t>
      </w:r>
      <w:r>
        <w:rPr>
          <w:rStyle w:val="Strong"/>
          <w:rFonts w:eastAsia="MS Mincho"/>
          <w:color w:val="000000"/>
        </w:rPr>
        <w:t xml:space="preserve"> </w:t>
      </w:r>
      <w:r>
        <w:rPr>
          <w:color w:val="000000"/>
        </w:rPr>
        <w:t xml:space="preserve">takes the waste products of photorespiration (glycolate/glyoxylate) and uses them to </w:t>
      </w:r>
      <w:r w:rsidRPr="00224974">
        <w:rPr>
          <w:rStyle w:val="Strong"/>
          <w:b w:val="0"/>
          <w:bCs w:val="0"/>
          <w:color w:val="000000"/>
        </w:rPr>
        <w:t>recover carbon that would otherwise be lost as CO</w:t>
      </w:r>
      <w:r w:rsidRPr="00224974">
        <w:rPr>
          <w:rStyle w:val="Strong"/>
          <w:rFonts w:eastAsia="MS Mincho"/>
          <w:b w:val="0"/>
          <w:bCs w:val="0"/>
          <w:color w:val="000000"/>
        </w:rPr>
        <w:t>₂</w:t>
      </w:r>
      <w:r>
        <w:rPr>
          <w:b/>
          <w:bCs/>
          <w:color w:val="000000"/>
        </w:rPr>
        <w:t xml:space="preserve">. </w:t>
      </w:r>
      <w:r>
        <w:rPr>
          <w:color w:val="000000"/>
        </w:rPr>
        <w:t>I</w:t>
      </w:r>
      <w:r w:rsidRPr="00C133A0">
        <w:rPr>
          <w:color w:val="000000"/>
        </w:rPr>
        <w:t xml:space="preserve">t has been possible, at least in experimental settings and even in field-grown crops, to reduce the carbon and energy penalties that arise when oxygen intrudes on the carbon-fixing machinery. </w:t>
      </w:r>
    </w:p>
    <w:p w14:paraId="17F6CEF6" w14:textId="77777777" w:rsidR="00AA0A34" w:rsidRDefault="00AA0A34" w:rsidP="00AA0A34">
      <w:pPr>
        <w:pStyle w:val="NormalWeb"/>
        <w:rPr>
          <w:color w:val="000000"/>
        </w:rPr>
      </w:pPr>
      <w:r>
        <w:rPr>
          <w:color w:val="000000"/>
        </w:rPr>
        <w:t xml:space="preserve">A more radical aspiration is to replace the entire system (Calvin cycle + RuBisCo) </w:t>
      </w:r>
      <w:r w:rsidRPr="001B6A6C">
        <w:rPr>
          <w:rStyle w:val="Strong"/>
          <w:rFonts w:eastAsia="MS Mincho"/>
          <w:b w:val="0"/>
          <w:bCs w:val="0"/>
          <w:color w:val="000000"/>
        </w:rPr>
        <w:t xml:space="preserve">with </w:t>
      </w:r>
      <w:r>
        <w:rPr>
          <w:rStyle w:val="Strong"/>
          <w:rFonts w:eastAsia="MS Mincho"/>
          <w:b w:val="0"/>
          <w:bCs w:val="0"/>
          <w:color w:val="000000"/>
        </w:rPr>
        <w:t>one that is engineered to be more efficient</w:t>
      </w:r>
      <w:r w:rsidRPr="001B6A6C">
        <w:rPr>
          <w:rStyle w:val="Strong"/>
          <w:rFonts w:eastAsia="MS Mincho"/>
          <w:b w:val="0"/>
          <w:bCs w:val="0"/>
          <w:color w:val="000000"/>
        </w:rPr>
        <w:t>. For example</w:t>
      </w:r>
      <w:r>
        <w:rPr>
          <w:rStyle w:val="Strong"/>
          <w:rFonts w:eastAsia="MS Mincho"/>
          <w:b w:val="0"/>
          <w:bCs w:val="0"/>
          <w:color w:val="000000"/>
        </w:rPr>
        <w:t>,</w:t>
      </w:r>
      <w:r w:rsidRPr="001B6A6C">
        <w:rPr>
          <w:rStyle w:val="Strong"/>
          <w:rFonts w:eastAsia="MS Mincho"/>
          <w:b w:val="0"/>
          <w:bCs w:val="0"/>
          <w:color w:val="000000"/>
        </w:rPr>
        <w:t xml:space="preserve">  the CETCH cycle</w:t>
      </w:r>
      <w:r>
        <w:rPr>
          <w:rStyle w:val="Strong"/>
          <w:rFonts w:eastAsia="MS Mincho"/>
          <w:color w:val="000000"/>
        </w:rPr>
        <w:t xml:space="preserve"> </w:t>
      </w:r>
      <w:r>
        <w:rPr>
          <w:color w:val="000000"/>
        </w:rPr>
        <w:t xml:space="preserve">is a completely synthetic carbon-fixation cycle that uses different enzymes that catalyze  more quickly, </w:t>
      </w:r>
      <w:r w:rsidRPr="004B11D2">
        <w:rPr>
          <w:color w:val="000000"/>
        </w:rPr>
        <w:t>avoid oxygenase side reactions</w:t>
      </w:r>
      <w:r>
        <w:rPr>
          <w:color w:val="000000"/>
        </w:rPr>
        <w:t xml:space="preserve"> (so no photorespiration at all) and use less energy</w:t>
      </w:r>
      <w:r w:rsidRPr="00C133A0">
        <w:rPr>
          <w:color w:val="000000"/>
        </w:rPr>
        <w:t xml:space="preserve"> (</w:t>
      </w:r>
      <w:r>
        <w:rPr>
          <w:color w:val="000000"/>
        </w:rPr>
        <w:t>32,33</w:t>
      </w:r>
      <w:r w:rsidRPr="00C133A0">
        <w:rPr>
          <w:color w:val="000000"/>
        </w:rPr>
        <w:t>). What is striking is not only the ingenuity of th</w:t>
      </w:r>
      <w:r>
        <w:rPr>
          <w:color w:val="000000"/>
        </w:rPr>
        <w:t>is research</w:t>
      </w:r>
      <w:r w:rsidRPr="00C133A0">
        <w:rPr>
          <w:color w:val="000000"/>
        </w:rPr>
        <w:t>, but the shift they represent: from working within the logic of natural evolution to cautiously, and now increasingly confidently, stepping beyond it</w:t>
      </w:r>
      <w:r>
        <w:rPr>
          <w:color w:val="000000"/>
        </w:rPr>
        <w:t xml:space="preserve"> and deeply into the territory of systems biology (34).</w:t>
      </w:r>
    </w:p>
    <w:p w14:paraId="726E6771" w14:textId="77777777" w:rsidR="00AA0A34" w:rsidRDefault="00AA0A34" w:rsidP="00AA0A34">
      <w:pPr>
        <w:pStyle w:val="NormalWeb"/>
        <w:rPr>
          <w:color w:val="000000"/>
        </w:rPr>
      </w:pPr>
      <w:r>
        <w:rPr>
          <w:color w:val="000000"/>
        </w:rPr>
        <w:t>While these approaches are promising, they suffer some of the same implementation barriers faced by engineered RuBisCo. The Calvin-Benson cycle is not a plug-and-play system</w:t>
      </w:r>
      <w:r w:rsidRPr="00A70A34">
        <w:rPr>
          <w:color w:val="000000"/>
        </w:rPr>
        <w:t xml:space="preserve">; </w:t>
      </w:r>
      <w:r>
        <w:rPr>
          <w:color w:val="000000"/>
        </w:rPr>
        <w:t xml:space="preserve">it has co-evolved with other properties and processes of chloroplast biology and so cannot easily be removed or replaced—a substitute is bound to suffer mismatches in energy, metabolism and regulation. </w:t>
      </w:r>
    </w:p>
    <w:p w14:paraId="10833D1C" w14:textId="77777777" w:rsidR="00AA0A34" w:rsidRDefault="00AA0A34" w:rsidP="00AA0A34">
      <w:pPr>
        <w:pStyle w:val="NormalWeb"/>
        <w:rPr>
          <w:color w:val="000000"/>
        </w:rPr>
      </w:pPr>
      <w:r>
        <w:rPr>
          <w:color w:val="000000"/>
        </w:rPr>
        <w:t>Such is scientific progress—it's never easy, but humans have a long history of solving difficult problems, and this one will</w:t>
      </w:r>
      <w:r w:rsidRPr="00A53715">
        <w:rPr>
          <w:color w:val="000000"/>
        </w:rPr>
        <w:t xml:space="preserve"> be no exception—but success will depend less on ingenuity, which we have in abundance, than on sustained commitment to deploy it at scale.</w:t>
      </w:r>
    </w:p>
    <w:p w14:paraId="15CC13BF" w14:textId="77777777" w:rsidR="00AA0A34" w:rsidRDefault="00AA0A34" w:rsidP="00AA0A34">
      <w:pPr>
        <w:pStyle w:val="NormalWeb"/>
        <w:spacing w:before="0" w:beforeAutospacing="0" w:after="60" w:afterAutospacing="0"/>
        <w:rPr>
          <w:color w:val="000000"/>
        </w:rPr>
      </w:pPr>
    </w:p>
    <w:p w14:paraId="3DCEDE62" w14:textId="77777777" w:rsidR="00AA0A34" w:rsidRPr="00C3550E" w:rsidRDefault="00AA0A34" w:rsidP="00AA0A34">
      <w:pPr>
        <w:rPr>
          <w:b/>
          <w:bCs/>
          <w:sz w:val="28"/>
          <w:szCs w:val="28"/>
        </w:rPr>
      </w:pPr>
      <w:r w:rsidRPr="00C3550E">
        <w:rPr>
          <w:b/>
          <w:bCs/>
          <w:sz w:val="28"/>
          <w:szCs w:val="28"/>
        </w:rPr>
        <w:t>References and Notes</w:t>
      </w:r>
    </w:p>
    <w:p w14:paraId="44362CF8" w14:textId="77777777" w:rsidR="00AA0A34" w:rsidRDefault="00AA0A34" w:rsidP="00AA0A34"/>
    <w:p w14:paraId="6D67F7FD" w14:textId="77777777" w:rsidR="00AA0A34" w:rsidRDefault="00AA0A34" w:rsidP="00AA0A34">
      <w:r>
        <w:t>1 There are a number of excellent introductory books on climate change; for example,  Andrew E  Dessler, Introduction to Modern Climate Change, Cambridge University Press, 2012</w:t>
      </w:r>
    </w:p>
    <w:p w14:paraId="48A19334" w14:textId="77777777" w:rsidR="00AA0A34" w:rsidRDefault="00AA0A34" w:rsidP="00AA0A34"/>
    <w:p w14:paraId="79991A1D" w14:textId="77777777" w:rsidR="00AA0A34" w:rsidRPr="00A42452" w:rsidRDefault="00AA0A34" w:rsidP="00AA0A34">
      <w:r w:rsidRPr="00A42452">
        <w:lastRenderedPageBreak/>
        <w:t xml:space="preserve">2 CO2 is a trace gas, meaning it's concentration is very low. In a volume containing a million molecules of air, only 1, on average will be CO2.  </w:t>
      </w:r>
      <w:r>
        <w:t xml:space="preserve">That should give some idea about how good it is at capturing infrared radiation (heat). Other trace gases are even better at it. </w:t>
      </w:r>
      <w:r w:rsidRPr="00A42452">
        <w:t xml:space="preserve"> </w:t>
      </w:r>
    </w:p>
    <w:p w14:paraId="018BBDC7" w14:textId="77777777" w:rsidR="00AA0A34" w:rsidRDefault="00AA0A34" w:rsidP="00AA0A34"/>
    <w:p w14:paraId="68FC3CDA" w14:textId="77777777" w:rsidR="00AA0A34" w:rsidRPr="00877291" w:rsidRDefault="00AA0A34" w:rsidP="00AA0A34">
      <w:r w:rsidRPr="00A42452">
        <w:t>3</w:t>
      </w:r>
      <w:r>
        <w:t xml:space="preserve"> IPCC 2022, </w:t>
      </w:r>
      <w:r w:rsidRPr="00532917">
        <w:t>Sixth Assessment Report (AR6).</w:t>
      </w:r>
      <w:r w:rsidRPr="006776BF">
        <w:t xml:space="preserve"> Working Group I: "The Physical Science Basis"</w:t>
      </w:r>
      <w:r>
        <w:t xml:space="preserve">, Chapter 9 </w:t>
      </w:r>
    </w:p>
    <w:p w14:paraId="2FB774ED" w14:textId="77777777" w:rsidR="00AA0A34" w:rsidRDefault="00AA0A34" w:rsidP="00AA0A34">
      <w:pPr>
        <w:pStyle w:val="NormalWeb"/>
        <w:rPr>
          <w:color w:val="000000"/>
        </w:rPr>
      </w:pPr>
      <w:r w:rsidRPr="000C547C">
        <w:rPr>
          <w:rFonts w:ascii="Google Sans" w:hAnsi="Google Sans"/>
          <w:color w:val="0A0A0A"/>
          <w:shd w:val="clear" w:color="auto" w:fill="FFFFFF"/>
        </w:rPr>
        <w:t>4</w:t>
      </w:r>
      <w:r>
        <w:rPr>
          <w:rFonts w:ascii="Google Sans" w:hAnsi="Google Sans"/>
          <w:b/>
          <w:bCs/>
          <w:color w:val="0A0A0A"/>
          <w:shd w:val="clear" w:color="auto" w:fill="FFFFFF"/>
        </w:rPr>
        <w:t xml:space="preserve"> </w:t>
      </w:r>
      <w:r>
        <w:rPr>
          <w:color w:val="000000"/>
        </w:rPr>
        <w:t>Radiative forcing and climate sensitivity are central concepts in climate science. Radiative forcing measures how much extra energy is being retained in the Earth system due to greenhouse gases or other influences. Climate sensitivity then tells us how the system responds—how much the planet will ultimately warm for a given increase in that energy imbalance, once it has reached a new equilibrium.</w:t>
      </w:r>
    </w:p>
    <w:p w14:paraId="2C0D8576" w14:textId="77777777" w:rsidR="00AA0A34" w:rsidRPr="000C547C" w:rsidRDefault="00AA0A34" w:rsidP="00AA0A34">
      <w:pPr>
        <w:pStyle w:val="NormalWeb"/>
        <w:rPr>
          <w:rFonts w:ascii="Google Sans" w:hAnsi="Google Sans"/>
          <w:color w:val="0A0A0A"/>
          <w:shd w:val="clear" w:color="auto" w:fill="FFFFFF"/>
        </w:rPr>
      </w:pPr>
      <w:r>
        <w:t xml:space="preserve">5 </w:t>
      </w:r>
      <w:r>
        <w:rPr>
          <w:rFonts w:ascii="Google Sans" w:hAnsi="Google Sans"/>
          <w:color w:val="0A0A0A"/>
          <w:shd w:val="clear" w:color="auto" w:fill="FFFFFF"/>
        </w:rPr>
        <w:t xml:space="preserve">Armstrong McKay, D. I., Staal, A., Abrams, J. F., Winkelmann, R., </w:t>
      </w:r>
      <w:proofErr w:type="spellStart"/>
      <w:r>
        <w:rPr>
          <w:rFonts w:ascii="Google Sans" w:hAnsi="Google Sans"/>
          <w:color w:val="0A0A0A"/>
          <w:shd w:val="clear" w:color="auto" w:fill="FFFFFF"/>
        </w:rPr>
        <w:t>Sakschewski</w:t>
      </w:r>
      <w:proofErr w:type="spellEnd"/>
      <w:r>
        <w:rPr>
          <w:rFonts w:ascii="Google Sans" w:hAnsi="Google Sans"/>
          <w:color w:val="0A0A0A"/>
          <w:shd w:val="clear" w:color="auto" w:fill="FFFFFF"/>
        </w:rPr>
        <w:t xml:space="preserve">, B., </w:t>
      </w:r>
      <w:proofErr w:type="spellStart"/>
      <w:r>
        <w:rPr>
          <w:rFonts w:ascii="Google Sans" w:hAnsi="Google Sans"/>
          <w:color w:val="0A0A0A"/>
          <w:shd w:val="clear" w:color="auto" w:fill="FFFFFF"/>
        </w:rPr>
        <w:t>Loriani</w:t>
      </w:r>
      <w:proofErr w:type="spellEnd"/>
      <w:r>
        <w:rPr>
          <w:rFonts w:ascii="Google Sans" w:hAnsi="Google Sans"/>
          <w:color w:val="0A0A0A"/>
          <w:shd w:val="clear" w:color="auto" w:fill="FFFFFF"/>
        </w:rPr>
        <w:t xml:space="preserve">, S., Fetzer, I., Cornell, S. E., </w:t>
      </w:r>
      <w:proofErr w:type="spellStart"/>
      <w:r>
        <w:rPr>
          <w:rFonts w:ascii="Google Sans" w:hAnsi="Google Sans"/>
          <w:color w:val="0A0A0A"/>
          <w:shd w:val="clear" w:color="auto" w:fill="FFFFFF"/>
        </w:rPr>
        <w:t>Rockström</w:t>
      </w:r>
      <w:proofErr w:type="spellEnd"/>
      <w:r>
        <w:rPr>
          <w:rFonts w:ascii="Google Sans" w:hAnsi="Google Sans"/>
          <w:color w:val="0A0A0A"/>
          <w:shd w:val="clear" w:color="auto" w:fill="FFFFFF"/>
        </w:rPr>
        <w:t>, J., &amp; Lenton, T. M. (2022). </w:t>
      </w:r>
      <w:r w:rsidRPr="00C3550E">
        <w:rPr>
          <w:rFonts w:ascii="Google Sans" w:hAnsi="Google Sans"/>
          <w:b/>
          <w:bCs/>
          <w:color w:val="0A0A0A"/>
          <w:shd w:val="clear" w:color="auto" w:fill="FFFFFF"/>
        </w:rPr>
        <w:t>"</w:t>
      </w:r>
      <w:r w:rsidRPr="00C3550E">
        <w:rPr>
          <w:rStyle w:val="Strong"/>
          <w:rFonts w:ascii="Google Sans" w:eastAsiaTheme="majorEastAsia" w:hAnsi="Google Sans"/>
          <w:b w:val="0"/>
          <w:bCs w:val="0"/>
          <w:color w:val="0A0A0A"/>
          <w:shd w:val="clear" w:color="auto" w:fill="FFFFFF"/>
        </w:rPr>
        <w:t>Exceeding 1.5°C global warming could trigger multiple climate tipping points</w:t>
      </w:r>
      <w:r w:rsidRPr="00C3550E">
        <w:rPr>
          <w:rFonts w:ascii="Google Sans" w:hAnsi="Google Sans"/>
          <w:b/>
          <w:bCs/>
          <w:color w:val="0A0A0A"/>
          <w:shd w:val="clear" w:color="auto" w:fill="FFFFFF"/>
        </w:rPr>
        <w:t>." </w:t>
      </w:r>
      <w:r>
        <w:rPr>
          <w:rStyle w:val="Emphasis"/>
          <w:rFonts w:ascii="Google Sans" w:eastAsiaTheme="majorEastAsia" w:hAnsi="Google Sans"/>
          <w:color w:val="0A0A0A"/>
          <w:shd w:val="clear" w:color="auto" w:fill="FFFFFF"/>
        </w:rPr>
        <w:t>Science</w:t>
      </w:r>
      <w:r>
        <w:rPr>
          <w:rFonts w:ascii="Google Sans" w:hAnsi="Google Sans"/>
          <w:color w:val="0A0A0A"/>
          <w:shd w:val="clear" w:color="auto" w:fill="FFFFFF"/>
        </w:rPr>
        <w:t>, 377(6611), eabn7950.</w:t>
      </w:r>
    </w:p>
    <w:p w14:paraId="1DC5BFC9" w14:textId="77777777" w:rsidR="00AA0A34" w:rsidRDefault="00AA0A34" w:rsidP="00AA0A34">
      <w:r>
        <w:rPr>
          <w:rFonts w:cstheme="minorHAnsi"/>
        </w:rPr>
        <w:t xml:space="preserve">6 </w:t>
      </w:r>
      <w:r w:rsidRPr="006776BF">
        <w:t xml:space="preserve">Schuur, E. A. G., et al. (2015). "Climate change and the permafrost carbon feedback." </w:t>
      </w:r>
      <w:r w:rsidRPr="006776BF">
        <w:rPr>
          <w:i/>
          <w:iCs/>
        </w:rPr>
        <w:t>Nature</w:t>
      </w:r>
      <w:r w:rsidRPr="006776BF">
        <w:t xml:space="preserve">, 520(7546), 171-179 (4) IPCC (2021). </w:t>
      </w:r>
    </w:p>
    <w:p w14:paraId="465B332C" w14:textId="77777777" w:rsidR="00AA0A34" w:rsidRDefault="00AA0A34" w:rsidP="00AA0A34"/>
    <w:p w14:paraId="33C6FED2" w14:textId="77777777" w:rsidR="00AA0A34" w:rsidRDefault="00AA0A34" w:rsidP="00AA0A34">
      <w:pPr>
        <w:rPr>
          <w:rFonts w:cstheme="minorHAnsi"/>
        </w:rPr>
      </w:pPr>
      <w:r>
        <w:t>7</w:t>
      </w:r>
      <w:r w:rsidRPr="006776BF">
        <w:t xml:space="preserve"> </w:t>
      </w:r>
      <w:proofErr w:type="spellStart"/>
      <w:r w:rsidRPr="006776BF">
        <w:t>Hugelius</w:t>
      </w:r>
      <w:proofErr w:type="spellEnd"/>
      <w:r w:rsidRPr="006776BF">
        <w:t xml:space="preserve">, G., et al. (2014). "Estimated stocks of circumpolar permafrost carbon with quantified uncertainty ranges and identified data gaps." </w:t>
      </w:r>
      <w:proofErr w:type="spellStart"/>
      <w:r w:rsidRPr="006776BF">
        <w:rPr>
          <w:i/>
          <w:iCs/>
        </w:rPr>
        <w:t>Biogeosciences</w:t>
      </w:r>
      <w:proofErr w:type="spellEnd"/>
      <w:r w:rsidRPr="006776BF">
        <w:t>, 11(23), 6573-6593.</w:t>
      </w:r>
      <w:r>
        <w:rPr>
          <w:rFonts w:cstheme="minorHAnsi"/>
        </w:rPr>
        <w:t xml:space="preserve"> </w:t>
      </w:r>
    </w:p>
    <w:p w14:paraId="742A7DFA" w14:textId="77777777" w:rsidR="00AA0A34" w:rsidRPr="00297A5E" w:rsidRDefault="00AA0A34" w:rsidP="00AA0A34">
      <w:pPr>
        <w:pStyle w:val="NormalWeb"/>
        <w:rPr>
          <w:color w:val="000000"/>
        </w:rPr>
      </w:pPr>
      <w:r w:rsidRPr="00CB5AF2">
        <w:rPr>
          <w:rFonts w:cstheme="minorHAnsi"/>
        </w:rPr>
        <w:t>8</w:t>
      </w:r>
      <w:r w:rsidRPr="0028577A">
        <w:rPr>
          <w:rFonts w:cstheme="minorHAnsi"/>
          <w:b/>
          <w:bCs/>
        </w:rPr>
        <w:t xml:space="preserve"> </w:t>
      </w:r>
      <w:r w:rsidRPr="00C3550E">
        <w:rPr>
          <w:rStyle w:val="Strong"/>
          <w:rFonts w:eastAsiaTheme="majorEastAsia"/>
          <w:b w:val="0"/>
          <w:bCs w:val="0"/>
          <w:color w:val="000000"/>
        </w:rPr>
        <w:t>Global warming potential (GWP)</w:t>
      </w:r>
      <w:r w:rsidRPr="00297A5E">
        <w:rPr>
          <w:rStyle w:val="apple-converted-space"/>
          <w:rFonts w:eastAsiaTheme="majorEastAsia"/>
          <w:color w:val="000000"/>
        </w:rPr>
        <w:t> </w:t>
      </w:r>
      <w:r w:rsidRPr="00297A5E">
        <w:rPr>
          <w:rFonts w:cstheme="minorHAnsi"/>
        </w:rPr>
        <w:t>is another important term in the climate change vocabulary</w:t>
      </w:r>
      <w:r>
        <w:rPr>
          <w:rFonts w:cstheme="minorHAnsi"/>
        </w:rPr>
        <w:t>.</w:t>
      </w:r>
      <w:r w:rsidRPr="00297A5E">
        <w:rPr>
          <w:rFonts w:cstheme="minorHAnsi"/>
        </w:rPr>
        <w:t xml:space="preserve"> It</w:t>
      </w:r>
      <w:r w:rsidRPr="00297A5E">
        <w:rPr>
          <w:color w:val="000000"/>
        </w:rPr>
        <w:t xml:space="preserve"> </w:t>
      </w:r>
      <w:r>
        <w:rPr>
          <w:color w:val="000000"/>
        </w:rPr>
        <w:t>measures the amount of heat that a given quantity of a greenhouse gas traps in the atmosphere over a given period of time—usually 20, 100 or 500 years—compared to the same weight of carbon dioxide (CO₂).</w:t>
      </w:r>
    </w:p>
    <w:p w14:paraId="1D2FC8CC" w14:textId="77777777" w:rsidR="00AA0A34" w:rsidRDefault="00AA0A34" w:rsidP="00AA0A34">
      <w:pPr>
        <w:rPr>
          <w:color w:val="000000" w:themeColor="text1"/>
        </w:rPr>
      </w:pPr>
      <w:r>
        <w:t>9</w:t>
      </w:r>
      <w:r w:rsidRPr="006776BF">
        <w:rPr>
          <w:b/>
          <w:bCs/>
        </w:rPr>
        <w:t xml:space="preserve"> </w:t>
      </w:r>
      <w:r w:rsidRPr="006776BF">
        <w:rPr>
          <w:rFonts w:cstheme="minorHAnsi"/>
        </w:rPr>
        <w:t>DeLisi, C. The role of synthetic biology in climate change mitigation. Biol Direct 14, 14 (2019). https://doi.org/10.1186/s13062-019-0247-8</w:t>
      </w:r>
      <w:r w:rsidRPr="006776BF">
        <w:rPr>
          <w:color w:val="000000" w:themeColor="text1"/>
        </w:rPr>
        <w:t xml:space="preserve">. </w:t>
      </w:r>
    </w:p>
    <w:p w14:paraId="4D370004" w14:textId="77777777" w:rsidR="00AA0A34" w:rsidRDefault="00AA0A34" w:rsidP="00AA0A34">
      <w:pPr>
        <w:rPr>
          <w:color w:val="000000" w:themeColor="text1"/>
        </w:rPr>
      </w:pPr>
    </w:p>
    <w:p w14:paraId="52088559" w14:textId="77777777" w:rsidR="00AA0A34" w:rsidRDefault="00AA0A34" w:rsidP="00AA0A34">
      <w:pPr>
        <w:rPr>
          <w:rStyle w:val="t286pc"/>
          <w:rFonts w:eastAsiaTheme="majorEastAsia"/>
          <w:color w:val="0A0A0A"/>
        </w:rPr>
      </w:pPr>
      <w:r>
        <w:rPr>
          <w:color w:val="000000" w:themeColor="text1"/>
        </w:rPr>
        <w:t xml:space="preserve">10 </w:t>
      </w:r>
      <w:r w:rsidRPr="003708AE">
        <w:rPr>
          <w:color w:val="000000" w:themeColor="text1"/>
        </w:rPr>
        <w:t>The calculations in (</w:t>
      </w:r>
      <w:r>
        <w:rPr>
          <w:color w:val="000000" w:themeColor="text1"/>
        </w:rPr>
        <w:t>9</w:t>
      </w:r>
      <w:r w:rsidRPr="003708AE">
        <w:rPr>
          <w:color w:val="000000" w:themeColor="text1"/>
        </w:rPr>
        <w:t>) builds on a suggestion made by Freeman Dyson (</w:t>
      </w:r>
      <w:r w:rsidRPr="003708AE">
        <w:rPr>
          <w:color w:val="0A0A0A"/>
        </w:rPr>
        <w:t xml:space="preserve">The Sun, the Genome and the Internet: Tools of Scientific Revolution, New York Public Library, 2000) who proposed genetically engineered carbon eating trees, and </w:t>
      </w:r>
      <w:r w:rsidRPr="003708AE">
        <w:rPr>
          <w:rStyle w:val="t286pc"/>
          <w:rFonts w:eastAsiaTheme="majorEastAsia"/>
          <w:color w:val="0A0A0A"/>
        </w:rPr>
        <w:t>bio-engineered plants designed to grow larger roots to incorporate carbon into top soil as ways to draw carbon from the atmosphere.</w:t>
      </w:r>
      <w:r>
        <w:rPr>
          <w:rStyle w:val="t286pc"/>
          <w:rFonts w:eastAsiaTheme="majorEastAsia"/>
          <w:color w:val="0A0A0A"/>
        </w:rPr>
        <w:t>[con1</w:t>
      </w:r>
    </w:p>
    <w:p w14:paraId="2BF096C0" w14:textId="77777777" w:rsidR="00AA0A34" w:rsidRDefault="00AA0A34" w:rsidP="00AA0A34">
      <w:pPr>
        <w:rPr>
          <w:rStyle w:val="t286pc"/>
          <w:rFonts w:eastAsiaTheme="majorEastAsia"/>
          <w:color w:val="0A0A0A"/>
        </w:rPr>
      </w:pPr>
    </w:p>
    <w:p w14:paraId="47D42169" w14:textId="77777777" w:rsidR="00AA0A34" w:rsidRPr="003C4097" w:rsidRDefault="00AA0A34" w:rsidP="00AA0A34">
      <w:pPr>
        <w:rPr>
          <w:rFonts w:eastAsiaTheme="majorEastAsia"/>
          <w:color w:val="0A0A0A"/>
        </w:rPr>
      </w:pPr>
      <w:r>
        <w:rPr>
          <w:rStyle w:val="t286pc"/>
          <w:rFonts w:eastAsiaTheme="majorEastAsia"/>
          <w:color w:val="0A0A0A"/>
        </w:rPr>
        <w:t>11</w:t>
      </w:r>
      <w:r>
        <w:t xml:space="preserve"> Congressional Budget Office: Emissions of Carbon Dioxide in the Electric Power Sector </w:t>
      </w:r>
      <w:r w:rsidRPr="00B32367">
        <w:t>https://</w:t>
      </w:r>
      <w:proofErr w:type="spellStart"/>
      <w:r w:rsidRPr="00B32367">
        <w:t>www.cbo.gov</w:t>
      </w:r>
      <w:proofErr w:type="spellEnd"/>
      <w:r w:rsidRPr="00B32367">
        <w:t>/publication/58860</w:t>
      </w:r>
    </w:p>
    <w:p w14:paraId="301294EF" w14:textId="77777777" w:rsidR="00AA0A34" w:rsidRPr="00B32367" w:rsidRDefault="00AA0A34" w:rsidP="00AA0A34">
      <w:pPr>
        <w:pStyle w:val="NormalWeb"/>
      </w:pPr>
      <w:r w:rsidRPr="00B32367">
        <w:t>1</w:t>
      </w:r>
      <w:r>
        <w:t xml:space="preserve">2 </w:t>
      </w:r>
      <w:r w:rsidRPr="00B32367">
        <w:rPr>
          <w:color w:val="000000"/>
        </w:rPr>
        <w:t>U.S. Bureau of Economic Analysis, Real Gross Domestic Product [GDPCA], retrieved from FRED, Federal Reserve Bank of St. Louis;</w:t>
      </w:r>
      <w:r w:rsidRPr="00B32367">
        <w:rPr>
          <w:rStyle w:val="apple-converted-space"/>
          <w:rFonts w:eastAsiaTheme="majorEastAsia"/>
          <w:color w:val="000000"/>
        </w:rPr>
        <w:t> </w:t>
      </w:r>
      <w:hyperlink r:id="rId8" w:history="1">
        <w:r w:rsidRPr="00B32367">
          <w:rPr>
            <w:rStyle w:val="Hyperlink"/>
            <w:rFonts w:eastAsiaTheme="majorEastAsia"/>
          </w:rPr>
          <w:t>https://</w:t>
        </w:r>
        <w:proofErr w:type="spellStart"/>
        <w:r w:rsidRPr="00B32367">
          <w:rPr>
            <w:rStyle w:val="Hyperlink"/>
            <w:rFonts w:eastAsiaTheme="majorEastAsia"/>
          </w:rPr>
          <w:t>fred.stlouisfed.org</w:t>
        </w:r>
        <w:proofErr w:type="spellEnd"/>
        <w:r w:rsidRPr="00B32367">
          <w:rPr>
            <w:rStyle w:val="Hyperlink"/>
            <w:rFonts w:eastAsiaTheme="majorEastAsia"/>
          </w:rPr>
          <w:t>/series/GDPCA</w:t>
        </w:r>
      </w:hyperlink>
    </w:p>
    <w:p w14:paraId="53E85BDB" w14:textId="77777777" w:rsidR="00AA0A34" w:rsidRPr="007925F4" w:rsidRDefault="00AA0A34" w:rsidP="00AA0A34">
      <w:pPr>
        <w:pStyle w:val="NormalWeb"/>
      </w:pPr>
      <w:r>
        <w:t xml:space="preserve">13 </w:t>
      </w:r>
      <w:r w:rsidRPr="00A13B55">
        <w:t>U.S. Energy Information Administration (EIA), "Monthly Energy Review" and "State Energy Data System (SEDS) 2025." https://www.utilitydive.com/news/energy-co2-carbon-emissions-falling-states-natural-gas</w:t>
      </w:r>
      <w:r>
        <w:t xml:space="preserve"> </w:t>
      </w:r>
      <w:r w:rsidRPr="00A13B55">
        <w:lastRenderedPageBreak/>
        <w:t>renewables/760374/#:~:text=Natural%20gas%20is%20flared%20in,said%20the%20Energy%20Information%20Administration.</w:t>
      </w:r>
    </w:p>
    <w:p w14:paraId="1418C1E5" w14:textId="77777777" w:rsidR="00AA0A34" w:rsidRDefault="00AA0A34" w:rsidP="00AA0A34">
      <w:r w:rsidRPr="009B3F03">
        <w:rPr>
          <w:color w:val="000000"/>
        </w:rPr>
        <w:t>1</w:t>
      </w:r>
      <w:r>
        <w:rPr>
          <w:color w:val="000000"/>
        </w:rPr>
        <w:t>4</w:t>
      </w:r>
      <w:r w:rsidRPr="009B3F03">
        <w:rPr>
          <w:color w:val="000000"/>
        </w:rPr>
        <w:t xml:space="preserve"> Hafner, S., Jones, A., Anger-Kraavi, A., et al. (2024). Reducing the cost of capital to finance the energy transition in developing countries.</w:t>
      </w:r>
      <w:r w:rsidRPr="009B3F03">
        <w:t> </w:t>
      </w:r>
      <w:r w:rsidRPr="009B3F03">
        <w:rPr>
          <w:i/>
          <w:iCs/>
        </w:rPr>
        <w:t>Nature Energy</w:t>
      </w:r>
      <w:r w:rsidRPr="009B3F03">
        <w:rPr>
          <w:color w:val="000000"/>
        </w:rPr>
        <w:t>.</w:t>
      </w:r>
      <w:r w:rsidRPr="009B3F03">
        <w:t> </w:t>
      </w:r>
      <w:hyperlink r:id="rId9" w:history="1">
        <w:r w:rsidRPr="009B3F03">
          <w:rPr>
            <w:color w:val="000000"/>
          </w:rPr>
          <w:t>https://doi.org/10.1038/s41560-024-01606-7</w:t>
        </w:r>
      </w:hyperlink>
    </w:p>
    <w:p w14:paraId="14D31FCC" w14:textId="77777777" w:rsidR="00AA0A34" w:rsidRDefault="00AA0A34" w:rsidP="00AA0A34">
      <w:pPr>
        <w:rPr>
          <w:color w:val="000000"/>
        </w:rPr>
      </w:pPr>
    </w:p>
    <w:p w14:paraId="02779208" w14:textId="77777777" w:rsidR="00AA0A34" w:rsidRDefault="00AA0A34" w:rsidP="00AA0A34">
      <w:pPr>
        <w:rPr>
          <w:color w:val="000000"/>
        </w:rPr>
      </w:pPr>
      <w:r>
        <w:rPr>
          <w:color w:val="000000"/>
        </w:rPr>
        <w:t xml:space="preserve">15 To be clear, the numbers I'm citing refer to mass of CO2 entering the atmosphere divided by gross domestic product, not to total greenhouse gases, but the narrative is essentially the same for both. </w:t>
      </w:r>
    </w:p>
    <w:p w14:paraId="4029E3DF" w14:textId="77777777" w:rsidR="00AA0A34" w:rsidRDefault="00AA0A34" w:rsidP="00AA0A34">
      <w:pPr>
        <w:rPr>
          <w:color w:val="000000"/>
        </w:rPr>
      </w:pPr>
    </w:p>
    <w:p w14:paraId="2217A6E0" w14:textId="77777777" w:rsidR="00AA0A34" w:rsidRDefault="00AA0A34" w:rsidP="00AA0A34">
      <w:pPr>
        <w:rPr>
          <w:b/>
          <w:bCs/>
          <w:color w:val="000000"/>
        </w:rPr>
      </w:pPr>
      <w:r>
        <w:rPr>
          <w:color w:val="000000"/>
        </w:rPr>
        <w:t xml:space="preserve">16 International Energy Agency, Greenhouse gas emissions from energy  </w:t>
      </w:r>
      <w:r w:rsidRPr="008532A1">
        <w:rPr>
          <w:color w:val="000000"/>
        </w:rPr>
        <w:t>https://www.iea.org/data-and-statistics/data-product/greenhouse-gas-emissions-from-energy</w:t>
      </w:r>
      <w:r>
        <w:rPr>
          <w:color w:val="000000"/>
        </w:rPr>
        <w:t xml:space="preserve"> </w:t>
      </w:r>
    </w:p>
    <w:p w14:paraId="0069A716" w14:textId="77777777" w:rsidR="00AA0A34" w:rsidRPr="009B3F03" w:rsidRDefault="00AA0A34" w:rsidP="00AA0A34">
      <w:pPr>
        <w:rPr>
          <w:color w:val="000000"/>
        </w:rPr>
      </w:pPr>
    </w:p>
    <w:p w14:paraId="703BA3F2" w14:textId="77777777" w:rsidR="00AA0A34" w:rsidRPr="009B3F03" w:rsidRDefault="00AA0A34" w:rsidP="00AA0A34">
      <w:pPr>
        <w:rPr>
          <w:color w:val="000000"/>
        </w:rPr>
      </w:pPr>
      <w:r w:rsidRPr="00A13276">
        <w:rPr>
          <w:color w:val="000000"/>
        </w:rPr>
        <w:t>1</w:t>
      </w:r>
      <w:r>
        <w:rPr>
          <w:color w:val="000000"/>
        </w:rPr>
        <w:t>7</w:t>
      </w:r>
      <w:r w:rsidRPr="00A13276">
        <w:rPr>
          <w:color w:val="000000"/>
        </w:rPr>
        <w:t xml:space="preserve"> </w:t>
      </w:r>
      <w:r>
        <w:rPr>
          <w:color w:val="000000"/>
        </w:rPr>
        <w:t>A molecules ability to trap heat is measured in watts per square meter per part per billion and is called its radiative efficiency. M</w:t>
      </w:r>
      <w:r w:rsidRPr="00A13276">
        <w:rPr>
          <w:color w:val="000000"/>
        </w:rPr>
        <w:t>ethane</w:t>
      </w:r>
      <w:r>
        <w:rPr>
          <w:color w:val="000000"/>
        </w:rPr>
        <w:t>'s</w:t>
      </w:r>
      <w:r w:rsidRPr="00A13276">
        <w:rPr>
          <w:color w:val="000000"/>
        </w:rPr>
        <w:t xml:space="preserve"> </w:t>
      </w:r>
      <w:r>
        <w:rPr>
          <w:color w:val="000000"/>
        </w:rPr>
        <w:t>radiative efficiency</w:t>
      </w:r>
      <w:r w:rsidRPr="00A13276">
        <w:rPr>
          <w:color w:val="000000"/>
        </w:rPr>
        <w:t xml:space="preserve"> is roughly 43 times greater than that of</w:t>
      </w:r>
      <w:r w:rsidRPr="00A13276">
        <w:t> </w:t>
      </w:r>
      <w:r>
        <w:rPr>
          <w:color w:val="000000"/>
        </w:rPr>
        <w:t>CO</w:t>
      </w:r>
      <w:r>
        <w:rPr>
          <w:color w:val="000000"/>
          <w:vertAlign w:val="subscript"/>
        </w:rPr>
        <w:t>2</w:t>
      </w:r>
      <w:r>
        <w:rPr>
          <w:color w:val="000000"/>
        </w:rPr>
        <w:t>.</w:t>
      </w:r>
      <w:r w:rsidRPr="00A13276">
        <w:rPr>
          <w:color w:val="000000"/>
        </w:rPr>
        <w:t xml:space="preserve"> However, a gas's total climate impact </w:t>
      </w:r>
      <w:r>
        <w:rPr>
          <w:color w:val="000000"/>
        </w:rPr>
        <w:t xml:space="preserve">also </w:t>
      </w:r>
      <w:r w:rsidRPr="00A13276">
        <w:rPr>
          <w:color w:val="000000"/>
        </w:rPr>
        <w:t>depends on it</w:t>
      </w:r>
      <w:r>
        <w:rPr>
          <w:color w:val="000000"/>
        </w:rPr>
        <w:t>s atmospheric retention</w:t>
      </w:r>
      <w:r w:rsidRPr="00A13276">
        <w:rPr>
          <w:color w:val="000000"/>
        </w:rPr>
        <w:t>. While methane remains in the atmosphere for about a decade,</w:t>
      </w:r>
      <w:r w:rsidRPr="00A13276">
        <w:t> </w:t>
      </w:r>
      <w:r>
        <w:rPr>
          <w:color w:val="000000"/>
        </w:rPr>
        <w:t>CO</w:t>
      </w:r>
      <w:r>
        <w:rPr>
          <w:color w:val="000000"/>
          <w:vertAlign w:val="subscript"/>
        </w:rPr>
        <w:t>2</w:t>
      </w:r>
      <w:r w:rsidRPr="00A13276">
        <w:t> </w:t>
      </w:r>
      <w:r w:rsidRPr="00A13276">
        <w:rPr>
          <w:color w:val="000000"/>
        </w:rPr>
        <w:t xml:space="preserve">persists for centuries. To account for both potency and longevity, </w:t>
      </w:r>
      <w:r>
        <w:rPr>
          <w:color w:val="000000"/>
        </w:rPr>
        <w:t>atmospheric scientists use</w:t>
      </w:r>
      <w:r w:rsidRPr="00A13276">
        <w:rPr>
          <w:color w:val="000000"/>
        </w:rPr>
        <w:t xml:space="preserve"> Global Warming Potential (GWP)</w:t>
      </w:r>
      <w:r>
        <w:rPr>
          <w:color w:val="000000"/>
        </w:rPr>
        <w:t xml:space="preserve"> which measures</w:t>
      </w:r>
      <w:r w:rsidRPr="00A13276">
        <w:rPr>
          <w:color w:val="000000"/>
        </w:rPr>
        <w:t xml:space="preserve"> a gas's radiative impact over a specific timeframe relative to</w:t>
      </w:r>
      <w:r w:rsidRPr="00A13276">
        <w:t> </w:t>
      </w:r>
      <w:r>
        <w:t>carbon dioxide's</w:t>
      </w:r>
      <w:r w:rsidRPr="00A13276">
        <w:rPr>
          <w:color w:val="000000"/>
        </w:rPr>
        <w:t>. Consequently, methane’s GWP is high in the short term (84 over 20 years) but diminishes as it leaves the atmosphere (28 over 100 years).</w:t>
      </w:r>
    </w:p>
    <w:p w14:paraId="3B0D7A85" w14:textId="77777777" w:rsidR="00AA0A34" w:rsidRPr="00A13276" w:rsidRDefault="00AA0A34" w:rsidP="00AA0A34">
      <w:pPr>
        <w:rPr>
          <w:color w:val="000000"/>
        </w:rPr>
      </w:pPr>
    </w:p>
    <w:p w14:paraId="0F220F12" w14:textId="6A2774E8" w:rsidR="00AA0A34" w:rsidRDefault="00AA0A34" w:rsidP="00AA0A34">
      <w:pPr>
        <w:tabs>
          <w:tab w:val="left" w:pos="720"/>
        </w:tabs>
        <w:ind w:right="90"/>
      </w:pPr>
      <w:r w:rsidRPr="00312F4B">
        <w:t>18a</w:t>
      </w:r>
      <w:r>
        <w:rPr>
          <w:b/>
          <w:bCs/>
        </w:rPr>
        <w:t xml:space="preserve"> </w:t>
      </w:r>
      <w:r w:rsidRPr="006776BF">
        <w:t>DeLisi</w:t>
      </w:r>
      <w:r>
        <w:t>,</w:t>
      </w:r>
      <w:r w:rsidR="001B13A9">
        <w:t xml:space="preserve"> C., </w:t>
      </w:r>
      <w:r>
        <w:t>Patrinos,</w:t>
      </w:r>
      <w:r w:rsidR="001B13A9">
        <w:t xml:space="preserve"> A.</w:t>
      </w:r>
      <w:r>
        <w:t xml:space="preserve"> McCracken</w:t>
      </w:r>
      <w:r w:rsidR="001B13A9">
        <w:t xml:space="preserve">, M </w:t>
      </w:r>
      <w:r>
        <w:t>et al</w:t>
      </w:r>
      <w:r w:rsidRPr="006776BF">
        <w:t xml:space="preserve"> </w:t>
      </w:r>
      <w:r>
        <w:t>The Role of Synthetic Biology in Atmospheric Greenhouse Gas Reductions</w:t>
      </w:r>
      <w:r w:rsidRPr="006776BF">
        <w:t xml:space="preserve"> BioDesign Research</w:t>
      </w:r>
      <w:r>
        <w:t xml:space="preserve"> </w:t>
      </w:r>
      <w:r w:rsidRPr="006776BF">
        <w:t>Volume 2020, Article ID 1016207 https://doi.org/10.34133/2020/1016207 ).</w:t>
      </w:r>
    </w:p>
    <w:p w14:paraId="28A8D558" w14:textId="77777777" w:rsidR="00AA0A34" w:rsidRDefault="00AA0A34" w:rsidP="00AA0A34">
      <w:pPr>
        <w:tabs>
          <w:tab w:val="left" w:pos="720"/>
        </w:tabs>
        <w:ind w:right="90"/>
      </w:pPr>
    </w:p>
    <w:p w14:paraId="700D6676" w14:textId="1D69BAFB" w:rsidR="00AA0A34" w:rsidRDefault="00AA0A34" w:rsidP="00AA0A34">
      <w:pPr>
        <w:tabs>
          <w:tab w:val="left" w:pos="720"/>
        </w:tabs>
        <w:ind w:right="90"/>
      </w:pPr>
      <w:r>
        <w:t>18b Drell</w:t>
      </w:r>
      <w:r w:rsidR="001B13A9">
        <w:t>, D.</w:t>
      </w:r>
      <w:r>
        <w:t xml:space="preserve"> et al, editors Synthetic Biology and Greenhouse Gases, Cold Spring Harbor Laboratory Press, 2024</w:t>
      </w:r>
    </w:p>
    <w:p w14:paraId="4D20A05F" w14:textId="77777777" w:rsidR="00AA0A34" w:rsidRDefault="00AA0A34" w:rsidP="00AA0A34">
      <w:pPr>
        <w:tabs>
          <w:tab w:val="left" w:pos="720"/>
        </w:tabs>
        <w:ind w:right="90"/>
      </w:pPr>
    </w:p>
    <w:p w14:paraId="77B53EBD" w14:textId="77777777" w:rsidR="00AA0A34" w:rsidRDefault="00AA0A34" w:rsidP="00AA0A34">
      <w:pPr>
        <w:tabs>
          <w:tab w:val="left" w:pos="720"/>
        </w:tabs>
        <w:ind w:right="90"/>
      </w:pPr>
      <w:r>
        <w:t xml:space="preserve">19 </w:t>
      </w:r>
      <w:r w:rsidRPr="006D1451">
        <w:t>IPCC AR6 WG1; Friedlingstein et al. 2023 Global Carbon Budget</w:t>
      </w:r>
    </w:p>
    <w:p w14:paraId="7F34DDE1" w14:textId="77777777" w:rsidR="00AA0A34" w:rsidRDefault="00AA0A34" w:rsidP="00AA0A34">
      <w:pPr>
        <w:tabs>
          <w:tab w:val="left" w:pos="720"/>
        </w:tabs>
        <w:ind w:right="90"/>
      </w:pPr>
    </w:p>
    <w:p w14:paraId="2A30FF72" w14:textId="77777777" w:rsidR="00AA0A34" w:rsidRDefault="00AA0A34" w:rsidP="00AA0A34">
      <w:pPr>
        <w:tabs>
          <w:tab w:val="left" w:pos="720"/>
        </w:tabs>
        <w:ind w:right="90"/>
      </w:pPr>
      <w:r>
        <w:t>20 "...covering bare fields..." requires some elaboration. In fact m</w:t>
      </w:r>
      <w:r w:rsidRPr="0053304B">
        <w:t>ultiple processes help reduce carbon loss when bare fields are covered during fallow periods.</w:t>
      </w:r>
      <w:r>
        <w:t xml:space="preserve"> </w:t>
      </w:r>
      <w:r w:rsidRPr="0053304B">
        <w:t xml:space="preserve">Among them are continued photosynthetic carbon </w:t>
      </w:r>
      <w:r w:rsidRPr="006D0AAC">
        <w:t>uptake</w:t>
      </w:r>
      <w:r>
        <w:t>—</w:t>
      </w:r>
      <w:r w:rsidRPr="006D0AAC">
        <w:t>which</w:t>
      </w:r>
      <w:r w:rsidRPr="0053304B">
        <w:t xml:space="preserve"> partially offsets carbon released through soil and microbial respiration</w:t>
      </w:r>
      <w:r>
        <w:t>—</w:t>
      </w:r>
      <w:r w:rsidRPr="0053304B">
        <w:t xml:space="preserve"> and the support of more stable and diverse microbial communities</w:t>
      </w:r>
      <w:r>
        <w:t>—</w:t>
      </w:r>
      <w:r w:rsidRPr="0053304B">
        <w:t>which can enhance soil carbon retention. In addition</w:t>
      </w:r>
      <w:r>
        <w:t>,</w:t>
      </w:r>
      <w:r w:rsidRPr="0053304B">
        <w:t xml:space="preserve"> </w:t>
      </w:r>
      <w:r>
        <w:t>w</w:t>
      </w:r>
      <w:r w:rsidRPr="0053304B">
        <w:t>hen legumes are used, biological nitrogen fixation reduces reliance on synthetic fertilizers produced by the Hab</w:t>
      </w:r>
      <w:r>
        <w:t>e</w:t>
      </w:r>
      <w:r w:rsidRPr="0053304B">
        <w:t xml:space="preserve">r-Bosch process, </w:t>
      </w:r>
      <w:r>
        <w:t>which is notoriously</w:t>
      </w:r>
      <w:r w:rsidRPr="006D0AAC">
        <w:t xml:space="preserve"> energy-intensive</w:t>
      </w:r>
      <w:r>
        <w:t xml:space="preserve"> and</w:t>
      </w:r>
      <w:r w:rsidRPr="006D0AAC">
        <w:t xml:space="preserve"> CO₂-emitting.</w:t>
      </w:r>
      <w:r w:rsidRPr="0053304B">
        <w:t xml:space="preserve"> The combined effects of all processes reduce</w:t>
      </w:r>
      <w:r>
        <w:t>s</w:t>
      </w:r>
      <w:r w:rsidRPr="0053304B">
        <w:t xml:space="preserve"> net emissions </w:t>
      </w:r>
      <w:r>
        <w:t>by</w:t>
      </w:r>
      <w:r w:rsidRPr="0053304B">
        <w:t xml:space="preserve"> ~0.1 to 0.5 tonnes of carbon per hectare per year, although the exact magnitude depends on climate, soil type, and management practices.</w:t>
      </w:r>
    </w:p>
    <w:p w14:paraId="34C471E3" w14:textId="77777777" w:rsidR="00AA0A34" w:rsidRDefault="00AA0A34" w:rsidP="00AA0A34">
      <w:pPr>
        <w:tabs>
          <w:tab w:val="left" w:pos="720"/>
        </w:tabs>
        <w:ind w:right="90"/>
      </w:pPr>
    </w:p>
    <w:p w14:paraId="6F51D127" w14:textId="77777777" w:rsidR="00AA0A34" w:rsidRPr="006D1451" w:rsidRDefault="00AA0A34" w:rsidP="00AA0A34">
      <w:r>
        <w:t>21 Carbon dioxide equivalent (</w:t>
      </w:r>
      <w:proofErr w:type="spellStart"/>
      <w:r w:rsidRPr="00FB773A">
        <w:rPr>
          <w:color w:val="000000"/>
        </w:rPr>
        <w:t>GtC</w:t>
      </w:r>
      <w:r>
        <w:rPr>
          <w:color w:val="000000"/>
        </w:rPr>
        <w:t>O</w:t>
      </w:r>
      <w:proofErr w:type="spellEnd"/>
      <w:r w:rsidRPr="00FB773A">
        <w:rPr>
          <w:color w:val="000000"/>
        </w:rPr>
        <w:t>₂-eq)</w:t>
      </w:r>
      <w:r>
        <w:t xml:space="preserve"> compares the global warming impact of various greenhouse gases by converting their emissions into the equivalent amount of carbon dioxide. It is calculated by multiplying the quantity of a gas by its g</w:t>
      </w:r>
      <w:r w:rsidRPr="00F63C70">
        <w:t xml:space="preserve">lobal </w:t>
      </w:r>
      <w:r>
        <w:t>w</w:t>
      </w:r>
      <w:r w:rsidRPr="00F63C70">
        <w:t xml:space="preserve">arming </w:t>
      </w:r>
      <w:r>
        <w:t>p</w:t>
      </w:r>
      <w:r w:rsidRPr="00F63C70">
        <w:t>otential</w:t>
      </w:r>
      <w:r>
        <w:t xml:space="preserve">, the latter being a measure  of how much energy 1 ton of the gas will absorb over a given period, relative </w:t>
      </w:r>
      <w:r>
        <w:lastRenderedPageBreak/>
        <w:t xml:space="preserve">to1ton of carbon dioxide. GWP thereby enables comparison of </w:t>
      </w:r>
      <w:r>
        <w:rPr>
          <w:rFonts w:eastAsiaTheme="majorEastAsia"/>
        </w:rPr>
        <w:t xml:space="preserve"> </w:t>
      </w:r>
      <w:r>
        <w:t xml:space="preserve">different gases, such as methane or nitrous oxide, using </w:t>
      </w:r>
      <w:r>
        <w:rPr>
          <w:rFonts w:ascii="Cambria Math" w:hAnsi="Cambria Math" w:cs="Cambria Math"/>
        </w:rPr>
        <w:t>𝐶𝑂</w:t>
      </w:r>
      <w:r>
        <w:t>2 as the standard baseline of 1.</w:t>
      </w:r>
      <w:r>
        <w:rPr>
          <w:rStyle w:val="vkekvd"/>
          <w:rFonts w:eastAsiaTheme="majorEastAsia"/>
        </w:rPr>
        <w:t> See also</w:t>
      </w:r>
      <w:r>
        <w:t xml:space="preserve"> How to Avoid a Climate Disaster: The Solutions we Have and the Breakthroughs we Need, by Bill Gates, Alfred A Knoff, New York, 2021</w:t>
      </w:r>
    </w:p>
    <w:p w14:paraId="30D1AE25" w14:textId="77777777" w:rsidR="00AA0A34" w:rsidRDefault="00AA0A34" w:rsidP="00AA0A34">
      <w:pPr>
        <w:tabs>
          <w:tab w:val="left" w:pos="720"/>
        </w:tabs>
        <w:ind w:right="90"/>
      </w:pPr>
    </w:p>
    <w:p w14:paraId="77128759" w14:textId="23DB1A28" w:rsidR="00AA0A34" w:rsidRPr="00546689" w:rsidRDefault="00AA0A34" w:rsidP="00AA0A34">
      <w:pPr>
        <w:spacing w:after="120"/>
      </w:pPr>
      <w:r>
        <w:t xml:space="preserve">22 </w:t>
      </w:r>
      <w:proofErr w:type="spellStart"/>
      <w:r w:rsidR="001B13A9" w:rsidRPr="00546689">
        <w:t>Churkina</w:t>
      </w:r>
      <w:proofErr w:type="spellEnd"/>
      <w:r w:rsidR="001B13A9" w:rsidRPr="00546689">
        <w:t xml:space="preserve">, </w:t>
      </w:r>
      <w:r w:rsidRPr="00546689">
        <w:t>G., et al. (2020). "Buildings as a global carbon sink." Nature Sustainability, 3, 269–276. DOI: 10.1038/s41893-019-0462-4</w:t>
      </w:r>
    </w:p>
    <w:p w14:paraId="1CDF4D3B" w14:textId="77777777" w:rsidR="00AA0A34" w:rsidRPr="00156C7B" w:rsidRDefault="00AA0A34" w:rsidP="00AA0A34">
      <w:r>
        <w:rPr>
          <w:color w:val="000000"/>
        </w:rPr>
        <w:t xml:space="preserve">23 </w:t>
      </w:r>
      <w:r>
        <w:t xml:space="preserve">Song, J., Chen, C., Zhu, S., Zhu, M., Dai, J., Ray, U., Li, Y., Kuang, Y., Li, Y., Quispe, N., Yao, Y., Gong, A., </w:t>
      </w:r>
      <w:proofErr w:type="spellStart"/>
      <w:r>
        <w:t>Leiste</w:t>
      </w:r>
      <w:proofErr w:type="spellEnd"/>
      <w:r>
        <w:t xml:space="preserve">, U., Bruck, H., Zhu, J. Y., Vellore, A., Li, H., Minus, M., Jia, Z., Martini, A., Li, T., Hu, L. (2018).“Processing bulk natural wood into a high-performance structural material.” </w:t>
      </w:r>
      <w:r>
        <w:rPr>
          <w:rStyle w:val="Emphasis"/>
          <w:rFonts w:eastAsiaTheme="majorEastAsia"/>
        </w:rPr>
        <w:t>Science</w:t>
      </w:r>
      <w:r>
        <w:t xml:space="preserve"> 360 (6393): 1216–1220. https://doi.org/10.1126/science.aat7223</w:t>
      </w:r>
    </w:p>
    <w:p w14:paraId="3DA2997D" w14:textId="77777777" w:rsidR="00AA0A34" w:rsidRDefault="00AA0A34" w:rsidP="00AA0A34">
      <w:pPr>
        <w:pStyle w:val="NormalWeb"/>
        <w:spacing w:before="0" w:beforeAutospacing="0" w:after="0" w:afterAutospacing="0"/>
        <w:rPr>
          <w:rStyle w:val="apple-converted-space"/>
          <w:color w:val="000000"/>
        </w:rPr>
      </w:pPr>
    </w:p>
    <w:p w14:paraId="21E72E13" w14:textId="77777777" w:rsidR="00AA0A34" w:rsidRDefault="00AA0A34" w:rsidP="00AA0A34">
      <w:pPr>
        <w:pStyle w:val="NormalWeb"/>
        <w:spacing w:before="0" w:beforeAutospacing="0" w:after="0" w:afterAutospacing="0"/>
        <w:rPr>
          <w:rStyle w:val="Strong"/>
          <w:rFonts w:eastAsiaTheme="majorEastAsia"/>
        </w:rPr>
      </w:pPr>
      <w:r w:rsidRPr="00C3550E">
        <w:rPr>
          <w:rStyle w:val="apple-converted-space"/>
          <w:color w:val="000000"/>
        </w:rPr>
        <w:t>24</w:t>
      </w:r>
      <w:r w:rsidRPr="00C3550E">
        <w:rPr>
          <w:rStyle w:val="apple-converted-space"/>
          <w:b/>
          <w:bCs/>
          <w:color w:val="000000"/>
        </w:rPr>
        <w:t xml:space="preserve"> </w:t>
      </w:r>
      <w:r w:rsidRPr="00C3550E">
        <w:rPr>
          <w:rStyle w:val="Strong"/>
          <w:rFonts w:eastAsiaTheme="majorEastAsia"/>
          <w:b w:val="0"/>
          <w:bCs w:val="0"/>
        </w:rPr>
        <w:t xml:space="preserve">Sulis, D. B., Jin, X., Yang, C., Matthews, B., Zhang, M., Li, K., Chen-Cabrera, V., Li, B., Shi, H., </w:t>
      </w:r>
      <w:proofErr w:type="spellStart"/>
      <w:r w:rsidRPr="00C3550E">
        <w:rPr>
          <w:rStyle w:val="Strong"/>
          <w:rFonts w:eastAsiaTheme="majorEastAsia"/>
          <w:b w:val="0"/>
          <w:bCs w:val="0"/>
        </w:rPr>
        <w:t>Barrangou</w:t>
      </w:r>
      <w:proofErr w:type="spellEnd"/>
      <w:r w:rsidRPr="00C3550E">
        <w:rPr>
          <w:rStyle w:val="Strong"/>
          <w:rFonts w:eastAsiaTheme="majorEastAsia"/>
          <w:b w:val="0"/>
          <w:bCs w:val="0"/>
        </w:rPr>
        <w:t xml:space="preserve">, R., Wang, J. P., et al. (2023). “Multiplex CRISPR editing of wood for sustainable fiber production.” </w:t>
      </w:r>
      <w:r w:rsidRPr="00C3550E">
        <w:rPr>
          <w:rStyle w:val="Emphasis"/>
          <w:rFonts w:eastAsiaTheme="majorEastAsia"/>
          <w:b/>
          <w:bCs/>
        </w:rPr>
        <w:t>Science</w:t>
      </w:r>
      <w:r w:rsidRPr="00C3550E">
        <w:rPr>
          <w:rStyle w:val="Strong"/>
          <w:rFonts w:eastAsiaTheme="majorEastAsia"/>
          <w:b w:val="0"/>
          <w:bCs w:val="0"/>
        </w:rPr>
        <w:t xml:space="preserve"> 381(6655): 216–221</w:t>
      </w:r>
      <w:r w:rsidRPr="00C3550E">
        <w:rPr>
          <w:rStyle w:val="Strong"/>
          <w:rFonts w:eastAsiaTheme="majorEastAsia"/>
          <w:b w:val="0"/>
          <w:bCs w:val="0"/>
          <w:color w:val="000000" w:themeColor="text1"/>
        </w:rPr>
        <w:t xml:space="preserve">. </w:t>
      </w:r>
      <w:hyperlink r:id="rId10" w:tgtFrame="_new" w:history="1">
        <w:r w:rsidRPr="009C5F1F">
          <w:rPr>
            <w:rStyle w:val="Hyperlink"/>
            <w:rFonts w:eastAsiaTheme="majorEastAsia"/>
            <w:color w:val="000000" w:themeColor="text1"/>
          </w:rPr>
          <w:t>https://doi.org/10.1126/science.add4514</w:t>
        </w:r>
      </w:hyperlink>
    </w:p>
    <w:p w14:paraId="3CDF4454" w14:textId="77777777" w:rsidR="00AA0A34" w:rsidRDefault="00AA0A34" w:rsidP="00AA0A34">
      <w:pPr>
        <w:pStyle w:val="NormalWeb"/>
        <w:spacing w:before="0" w:beforeAutospacing="0" w:after="0" w:afterAutospacing="0"/>
      </w:pPr>
    </w:p>
    <w:p w14:paraId="5C4D118C" w14:textId="77777777" w:rsidR="00AA0A34" w:rsidRPr="00690185" w:rsidRDefault="00AA0A34" w:rsidP="00AA0A34">
      <w:pPr>
        <w:pStyle w:val="NormalWeb"/>
        <w:spacing w:before="0" w:beforeAutospacing="0" w:after="0" w:afterAutospacing="0"/>
        <w:rPr>
          <w:rStyle w:val="Strong"/>
          <w:rFonts w:eastAsiaTheme="majorEastAsia"/>
          <w:b w:val="0"/>
          <w:bCs w:val="0"/>
        </w:rPr>
      </w:pPr>
      <w:r>
        <w:t xml:space="preserve">25 Li, T., Song, J., Zhao, X., Yang, Z., Pastel, G., Xu, S., Jia, C., Dai, J., Chen, C., Gong, A., Jiang, F., Yao, Y., Fan, T., Yang, B., </w:t>
      </w:r>
      <w:proofErr w:type="spellStart"/>
      <w:r>
        <w:t>Wågberg</w:t>
      </w:r>
      <w:proofErr w:type="spellEnd"/>
      <w:r>
        <w:t>, L., Zhu, M., Hu, L. (2018). “Anisotropic, lightweight, strong, and stiff wood through delignification and densification.</w:t>
      </w:r>
      <w:r>
        <w:rPr>
          <w:rStyle w:val="Emphasis"/>
          <w:rFonts w:eastAsiaTheme="majorEastAsia"/>
        </w:rPr>
        <w:t>“, Nature</w:t>
      </w:r>
      <w:r>
        <w:t xml:space="preserve"> 554: 224–228.https://doi.org/10.1038/nature25476</w:t>
      </w:r>
    </w:p>
    <w:p w14:paraId="13A70932" w14:textId="77777777" w:rsidR="00AA0A34" w:rsidRDefault="00AA0A34" w:rsidP="00AA0A34">
      <w:pPr>
        <w:pStyle w:val="NormalWeb"/>
        <w:spacing w:before="0" w:beforeAutospacing="0" w:after="0" w:afterAutospacing="0"/>
      </w:pPr>
    </w:p>
    <w:p w14:paraId="0A1874C5" w14:textId="77777777" w:rsidR="00AA0A34" w:rsidRDefault="00AA0A34" w:rsidP="00AA0A34">
      <w:pPr>
        <w:pStyle w:val="NormalWeb"/>
        <w:spacing w:before="0" w:beforeAutospacing="0" w:after="0" w:afterAutospacing="0"/>
      </w:pPr>
      <w:r>
        <w:t xml:space="preserve">26 </w:t>
      </w:r>
      <w:r w:rsidRPr="00341FC1">
        <w:t>May,</w:t>
      </w:r>
      <w:r>
        <w:t xml:space="preserve"> M.,</w:t>
      </w:r>
      <w:r w:rsidRPr="00341FC1">
        <w:t xml:space="preserve"> Hirsch,</w:t>
      </w:r>
      <w:r>
        <w:t xml:space="preserve"> S., </w:t>
      </w:r>
      <w:r w:rsidRPr="00341FC1">
        <w:t>Abramson</w:t>
      </w:r>
      <w:r>
        <w:t xml:space="preserve">, M. </w:t>
      </w:r>
      <w:r w:rsidRPr="00341FC1">
        <w:t>Transformation of Plantation Forestry Productivity for Climate Change Mitigation and Adaptation</w:t>
      </w:r>
      <w:r>
        <w:t xml:space="preserve"> in Drell, </w:t>
      </w:r>
      <w:r w:rsidRPr="00312F4B">
        <w:rPr>
          <w:i/>
          <w:iCs/>
        </w:rPr>
        <w:t>op cit</w:t>
      </w:r>
      <w:r>
        <w:t>.</w:t>
      </w:r>
    </w:p>
    <w:p w14:paraId="6744667B" w14:textId="77777777" w:rsidR="00AA0A34" w:rsidRDefault="00AA0A34" w:rsidP="00AA0A34">
      <w:pPr>
        <w:pStyle w:val="NormalWeb"/>
        <w:spacing w:before="0" w:beforeAutospacing="0" w:after="0" w:afterAutospacing="0"/>
      </w:pPr>
    </w:p>
    <w:p w14:paraId="461C705F" w14:textId="77777777" w:rsidR="00AA0A34" w:rsidRDefault="00AA0A34" w:rsidP="00AA0A34">
      <w:pPr>
        <w:pStyle w:val="NormalWeb"/>
        <w:spacing w:before="0" w:beforeAutospacing="0" w:after="40" w:afterAutospacing="0"/>
        <w:rPr>
          <w:color w:val="000000"/>
        </w:rPr>
      </w:pPr>
      <w:r>
        <w:rPr>
          <w:color w:val="000000"/>
        </w:rPr>
        <w:t xml:space="preserve">27 Field, C. B., </w:t>
      </w:r>
      <w:proofErr w:type="spellStart"/>
      <w:r>
        <w:rPr>
          <w:color w:val="000000"/>
        </w:rPr>
        <w:t>Behrenfeld</w:t>
      </w:r>
      <w:proofErr w:type="spellEnd"/>
      <w:r>
        <w:rPr>
          <w:color w:val="000000"/>
        </w:rPr>
        <w:t>, M. J., Randerson, J. T., &amp; Falkowski, P. (1998).</w:t>
      </w:r>
      <w:r>
        <w:rPr>
          <w:color w:val="000000"/>
        </w:rPr>
        <w:br/>
        <w:t>Primary production of the biosphere: integrating terrestrial and oceanic components.</w:t>
      </w:r>
      <w:r>
        <w:rPr>
          <w:color w:val="000000"/>
        </w:rPr>
        <w:br/>
        <w:t>Science 281: 237–240.https://doi.org/10.1126/science.281.5374.237</w:t>
      </w:r>
    </w:p>
    <w:p w14:paraId="4C0FD7BC" w14:textId="77777777" w:rsidR="00AA0A34" w:rsidRPr="00761363" w:rsidRDefault="00AA0A34" w:rsidP="00AA0A34">
      <w:pPr>
        <w:pStyle w:val="NormalWeb"/>
        <w:spacing w:before="0" w:beforeAutospacing="0" w:after="40" w:afterAutospacing="0"/>
        <w:rPr>
          <w:color w:val="000000"/>
          <w:sz w:val="16"/>
          <w:szCs w:val="16"/>
        </w:rPr>
      </w:pPr>
    </w:p>
    <w:p w14:paraId="16D41E5E" w14:textId="77777777" w:rsidR="00AA0A34" w:rsidRDefault="00AA0A34" w:rsidP="00AA0A34">
      <w:pPr>
        <w:pStyle w:val="NormalWeb"/>
        <w:spacing w:before="0" w:beforeAutospacing="0" w:after="40" w:afterAutospacing="0"/>
        <w:rPr>
          <w:color w:val="000000"/>
        </w:rPr>
      </w:pPr>
      <w:r>
        <w:rPr>
          <w:color w:val="000000"/>
        </w:rPr>
        <w:t>28 Whitney, S. M., Houtz, R. L., &amp; Alonso, H. (2011) Advancing our understanding and capacity to engineer nature’s CO₂-sequestering enzyme, Rubisco. Plant Physiology 155: 27–35. https://doi.org/10.1104/pp.110.164814</w:t>
      </w:r>
    </w:p>
    <w:p w14:paraId="629DB22C" w14:textId="77777777" w:rsidR="00AA0A34" w:rsidRPr="00761363" w:rsidRDefault="00AA0A34" w:rsidP="00AA0A34">
      <w:pPr>
        <w:pStyle w:val="NormalWeb"/>
        <w:spacing w:before="0" w:beforeAutospacing="0" w:after="40" w:afterAutospacing="0"/>
        <w:rPr>
          <w:color w:val="000000"/>
          <w:sz w:val="16"/>
          <w:szCs w:val="16"/>
        </w:rPr>
      </w:pPr>
    </w:p>
    <w:p w14:paraId="56C91A66" w14:textId="77777777" w:rsidR="00AA0A34" w:rsidRDefault="00AA0A34" w:rsidP="00AA0A34">
      <w:pPr>
        <w:pStyle w:val="NormalWeb"/>
        <w:spacing w:before="0" w:beforeAutospacing="0" w:after="40" w:afterAutospacing="0"/>
        <w:rPr>
          <w:color w:val="000000"/>
        </w:rPr>
      </w:pPr>
      <w:r>
        <w:rPr>
          <w:color w:val="000000"/>
        </w:rPr>
        <w:t xml:space="preserve">29 Beer, C., Reichstein, M., </w:t>
      </w:r>
      <w:proofErr w:type="spellStart"/>
      <w:r>
        <w:rPr>
          <w:color w:val="000000"/>
        </w:rPr>
        <w:t>Tomelleri</w:t>
      </w:r>
      <w:proofErr w:type="spellEnd"/>
      <w:r>
        <w:rPr>
          <w:color w:val="000000"/>
        </w:rPr>
        <w:t>, E., et al. (2010). Terrestrial gross carbon dioxide uptake: global distribution and covariation with climate. Science 329: 834–838.</w:t>
      </w:r>
    </w:p>
    <w:p w14:paraId="7C06A1C7" w14:textId="77777777" w:rsidR="00AA0A34" w:rsidRDefault="00AA0A34" w:rsidP="00AA0A34">
      <w:pPr>
        <w:pStyle w:val="NormalWeb"/>
        <w:spacing w:before="0" w:beforeAutospacing="0" w:after="40" w:afterAutospacing="0"/>
        <w:rPr>
          <w:color w:val="000000" w:themeColor="text1"/>
        </w:rPr>
      </w:pPr>
      <w:r>
        <w:rPr>
          <w:color w:val="000000"/>
        </w:rPr>
        <w:br/>
        <w:t xml:space="preserve">30 </w:t>
      </w:r>
      <w:proofErr w:type="spellStart"/>
      <w:r>
        <w:rPr>
          <w:color w:val="000000"/>
        </w:rPr>
        <w:t>Flamholz</w:t>
      </w:r>
      <w:proofErr w:type="spellEnd"/>
      <w:r>
        <w:rPr>
          <w:color w:val="000000"/>
        </w:rPr>
        <w:t xml:space="preserve">, A. I., </w:t>
      </w:r>
      <w:proofErr w:type="spellStart"/>
      <w:r>
        <w:rPr>
          <w:color w:val="000000"/>
        </w:rPr>
        <w:t>Prywes</w:t>
      </w:r>
      <w:proofErr w:type="spellEnd"/>
      <w:r>
        <w:rPr>
          <w:color w:val="000000"/>
        </w:rPr>
        <w:t>, N., Moran, U., Davidi, D., Bar-On, Y. M., &amp; Milo, R. (2019).</w:t>
      </w:r>
      <w:r>
        <w:rPr>
          <w:color w:val="000000"/>
        </w:rPr>
        <w:br/>
        <w:t>Revisiting trade-offs between Rubisco kinetic parameters. Biochemistry 58: 3365–3376.</w:t>
      </w:r>
      <w:r>
        <w:rPr>
          <w:color w:val="000000"/>
        </w:rPr>
        <w:br/>
      </w:r>
      <w:hyperlink r:id="rId11" w:tgtFrame="_new" w:history="1">
        <w:r w:rsidRPr="009C5F1F">
          <w:rPr>
            <w:rStyle w:val="Hyperlink"/>
            <w:color w:val="000000" w:themeColor="text1"/>
          </w:rPr>
          <w:t>https://doi.org/10.1021/acs.biochem.9b00237</w:t>
        </w:r>
      </w:hyperlink>
      <w:r w:rsidRPr="009C5F1F">
        <w:rPr>
          <w:color w:val="000000" w:themeColor="text1"/>
        </w:rPr>
        <w:t xml:space="preserve">  </w:t>
      </w:r>
    </w:p>
    <w:p w14:paraId="2579509F" w14:textId="77777777" w:rsidR="00AA0A34" w:rsidRDefault="00AA0A34" w:rsidP="00AA0A34">
      <w:pPr>
        <w:pStyle w:val="NormalWeb"/>
        <w:spacing w:before="0" w:beforeAutospacing="0" w:after="40" w:afterAutospacing="0"/>
        <w:ind w:right="0"/>
        <w:rPr>
          <w:color w:val="000000"/>
        </w:rPr>
      </w:pPr>
      <w:r>
        <w:rPr>
          <w:color w:val="000000"/>
        </w:rPr>
        <w:br/>
        <w:t>31</w:t>
      </w:r>
      <w:r w:rsidRPr="00723C62">
        <w:rPr>
          <w:color w:val="000000"/>
        </w:rPr>
        <w:t xml:space="preserve"> </w:t>
      </w:r>
      <w:r>
        <w:rPr>
          <w:color w:val="000000"/>
        </w:rPr>
        <w:t xml:space="preserve">South, P. F., Cavanagh, A. P., Liu, H. W., &amp; Ort, D. R. (2019) Synthetic glycolate metabolism pathways stimulate crop growth and productivity in the field. Science 363: eaat9077. </w:t>
      </w:r>
      <w:hyperlink r:id="rId12" w:tgtFrame="_new" w:history="1">
        <w:r w:rsidRPr="009C5F1F">
          <w:rPr>
            <w:rStyle w:val="Hyperlink"/>
            <w:color w:val="000000" w:themeColor="text1"/>
          </w:rPr>
          <w:t>https://doi.org/10.1126/science.aat9077</w:t>
        </w:r>
      </w:hyperlink>
      <w:r>
        <w:t xml:space="preserve"> </w:t>
      </w:r>
      <w:r w:rsidRPr="00107520">
        <w:rPr>
          <w:color w:val="000000"/>
        </w:rPr>
        <w:t>Engineered alternative photorespiration pathways in tobacco</w:t>
      </w:r>
    </w:p>
    <w:p w14:paraId="3A16AB05" w14:textId="77777777" w:rsidR="00AA0A34" w:rsidRPr="00761363" w:rsidRDefault="00AA0A34" w:rsidP="00AA0A34">
      <w:pPr>
        <w:pStyle w:val="NormalWeb"/>
        <w:spacing w:before="0" w:beforeAutospacing="0" w:after="40" w:afterAutospacing="0"/>
        <w:ind w:right="0"/>
        <w:rPr>
          <w:color w:val="000000" w:themeColor="text1"/>
          <w:sz w:val="16"/>
          <w:szCs w:val="16"/>
        </w:rPr>
      </w:pPr>
    </w:p>
    <w:p w14:paraId="12ABAEB1" w14:textId="210E3641" w:rsidR="00AA0A34" w:rsidRDefault="00AA0A34" w:rsidP="00AA0A34">
      <w:pPr>
        <w:spacing w:after="40"/>
        <w:ind w:right="0"/>
      </w:pPr>
      <w:r>
        <w:lastRenderedPageBreak/>
        <w:t>32 Erb, Tobias J, Photosynthesis 2.0: Realizing New-to-Nature CO</w:t>
      </w:r>
      <w:r>
        <w:rPr>
          <w:vertAlign w:val="subscript"/>
        </w:rPr>
        <w:t>2</w:t>
      </w:r>
      <w:r>
        <w:t xml:space="preserve"> Fixation to Overcome the Limits of Natural Metabolism in Drell, </w:t>
      </w:r>
      <w:r w:rsidRPr="00312F4B">
        <w:rPr>
          <w:i/>
          <w:iCs/>
        </w:rPr>
        <w:t>op. cit.</w:t>
      </w:r>
    </w:p>
    <w:p w14:paraId="5F5987E7" w14:textId="77777777" w:rsidR="00AA0A34" w:rsidRPr="00761363" w:rsidRDefault="00AA0A34" w:rsidP="00AA0A34">
      <w:pPr>
        <w:spacing w:after="40"/>
        <w:ind w:right="0"/>
        <w:rPr>
          <w:sz w:val="16"/>
          <w:szCs w:val="16"/>
        </w:rPr>
      </w:pPr>
    </w:p>
    <w:p w14:paraId="08BF8D53" w14:textId="77777777" w:rsidR="00AA0A34" w:rsidRPr="00E66823" w:rsidRDefault="00AA0A34" w:rsidP="00AA0A34">
      <w:pPr>
        <w:pStyle w:val="Heading1"/>
        <w:shd w:val="clear" w:color="auto" w:fill="FFFFFF"/>
        <w:spacing w:before="0" w:after="40"/>
        <w:rPr>
          <w:rFonts w:ascii="Times New Roman" w:eastAsiaTheme="minorHAnsi" w:hAnsi="Times New Roman" w:cs="Times New Roman"/>
          <w:color w:val="auto"/>
          <w:sz w:val="24"/>
          <w:szCs w:val="24"/>
        </w:rPr>
      </w:pPr>
      <w:r>
        <w:rPr>
          <w:rFonts w:ascii="Times New Roman" w:eastAsiaTheme="minorHAnsi" w:hAnsi="Times New Roman" w:cs="Times New Roman"/>
          <w:color w:val="auto"/>
          <w:sz w:val="24"/>
          <w:szCs w:val="24"/>
        </w:rPr>
        <w:t xml:space="preserve">33 </w:t>
      </w:r>
      <w:r w:rsidRPr="00E66823">
        <w:rPr>
          <w:rFonts w:ascii="Times New Roman" w:eastAsiaTheme="minorHAnsi" w:hAnsi="Times New Roman" w:cs="Times New Roman"/>
          <w:color w:val="auto"/>
          <w:sz w:val="24"/>
          <w:szCs w:val="24"/>
        </w:rPr>
        <w:t>Schwander T., et al.,</w:t>
      </w:r>
      <w:r w:rsidRPr="00E66823">
        <w:rPr>
          <w:rFonts w:ascii="Times New Roman" w:eastAsiaTheme="minorHAnsi" w:hAnsi="Times New Roman" w:cs="Times New Roman"/>
          <w:b/>
          <w:bCs/>
          <w:color w:val="auto"/>
          <w:sz w:val="24"/>
          <w:szCs w:val="24"/>
        </w:rPr>
        <w:t xml:space="preserve"> </w:t>
      </w:r>
      <w:r w:rsidRPr="00E66823">
        <w:rPr>
          <w:rFonts w:ascii="Times New Roman" w:eastAsiaTheme="minorHAnsi" w:hAnsi="Times New Roman" w:cs="Times New Roman"/>
          <w:color w:val="auto"/>
          <w:sz w:val="24"/>
          <w:szCs w:val="24"/>
        </w:rPr>
        <w:t>A synthetic pathway for the fixation of carbon dioxide in vitro</w:t>
      </w:r>
    </w:p>
    <w:p w14:paraId="379D6BEA" w14:textId="77777777" w:rsidR="00AA0A34" w:rsidRPr="00E66823" w:rsidRDefault="00AA0A34" w:rsidP="00AA0A34">
      <w:pPr>
        <w:shd w:val="clear" w:color="auto" w:fill="FFFFFF"/>
        <w:spacing w:after="40"/>
        <w:ind w:right="0"/>
      </w:pPr>
      <w:r w:rsidRPr="00E66823">
        <w:t>Science</w:t>
      </w:r>
      <w:r>
        <w:rPr>
          <w:b/>
          <w:bCs/>
        </w:rPr>
        <w:t xml:space="preserve">, </w:t>
      </w:r>
      <w:r w:rsidRPr="00E66823">
        <w:t>18 Nov 2016</w:t>
      </w:r>
      <w:r>
        <w:t xml:space="preserve"> </w:t>
      </w:r>
      <w:r w:rsidRPr="00E66823">
        <w:t>Vol 354, Issue 6314</w:t>
      </w:r>
      <w:r>
        <w:t xml:space="preserve"> </w:t>
      </w:r>
      <w:r w:rsidRPr="00E66823">
        <w:t>pp. 900-904</w:t>
      </w:r>
      <w:r>
        <w:t xml:space="preserve">. </w:t>
      </w:r>
      <w:hyperlink r:id="rId13" w:history="1">
        <w:r w:rsidRPr="00E66823">
          <w:t>DOI: 10.1126/science.aah523</w:t>
        </w:r>
      </w:hyperlink>
    </w:p>
    <w:p w14:paraId="2D41C3C7" w14:textId="77777777" w:rsidR="00AA0A34" w:rsidRPr="00761363" w:rsidRDefault="00AA0A34" w:rsidP="00AA0A34">
      <w:pPr>
        <w:spacing w:after="60"/>
        <w:rPr>
          <w:sz w:val="16"/>
          <w:szCs w:val="16"/>
        </w:rPr>
      </w:pPr>
    </w:p>
    <w:p w14:paraId="4F0085FB" w14:textId="77777777" w:rsidR="00AA0A34" w:rsidRPr="00E66823" w:rsidRDefault="00AA0A34" w:rsidP="00AA0A34">
      <w:pPr>
        <w:shd w:val="clear" w:color="auto" w:fill="FFFFFF"/>
        <w:spacing w:after="60"/>
      </w:pPr>
      <w:r>
        <w:t xml:space="preserve">34 </w:t>
      </w:r>
      <w:r w:rsidRPr="00E66823">
        <w:t>Batista-Silva, Willian et al., 2020 Plant Communications 2020 Feb 13;1(2):100032.</w:t>
      </w:r>
    </w:p>
    <w:p w14:paraId="6220BC1B" w14:textId="77777777" w:rsidR="00AA0A34" w:rsidRPr="00E66823" w:rsidRDefault="00AA0A34" w:rsidP="00AA0A34">
      <w:pPr>
        <w:shd w:val="clear" w:color="auto" w:fill="FFFFFF"/>
        <w:spacing w:after="60"/>
      </w:pPr>
      <w:proofErr w:type="spellStart"/>
      <w:r w:rsidRPr="00E66823">
        <w:t>doi</w:t>
      </w:r>
      <w:proofErr w:type="spellEnd"/>
      <w:r w:rsidRPr="00E66823">
        <w:t>: 10.1016/j.xplc.2020.100032. </w:t>
      </w:r>
      <w:proofErr w:type="spellStart"/>
      <w:r w:rsidRPr="00E66823">
        <w:t>eCollection</w:t>
      </w:r>
      <w:proofErr w:type="spellEnd"/>
      <w:r w:rsidRPr="00E66823">
        <w:t xml:space="preserve"> 2020 Mar 9.</w:t>
      </w:r>
    </w:p>
    <w:p w14:paraId="1CDD546B" w14:textId="77777777" w:rsidR="00AA0A34" w:rsidRPr="003E0C40" w:rsidRDefault="00AA0A34" w:rsidP="00AA0A34">
      <w:pPr>
        <w:shd w:val="clear" w:color="auto" w:fill="FFFFFF"/>
        <w:spacing w:after="60"/>
      </w:pPr>
    </w:p>
    <w:p w14:paraId="71FC42F7" w14:textId="77777777" w:rsidR="00AA0A34" w:rsidRDefault="00AA0A34" w:rsidP="00AA0A34">
      <w:pPr>
        <w:spacing w:after="60"/>
      </w:pPr>
    </w:p>
    <w:p w14:paraId="42E3D08F" w14:textId="77777777" w:rsidR="00F06C72" w:rsidRDefault="00F06C72"/>
    <w:sectPr w:rsidR="00F06C72" w:rsidSect="007631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604020202020204"/>
    <w:charset w:val="00"/>
    <w:family w:val="swiss"/>
    <w:pitch w:val="variable"/>
    <w:sig w:usb0="20000287" w:usb1="00000003" w:usb2="00000000" w:usb3="00000000" w:csb0="0000019F" w:csb1="00000000"/>
  </w:font>
  <w:font w:name="Aptos Display">
    <w:panose1 w:val="020B0604020202020204"/>
    <w:charset w:val="00"/>
    <w:family w:val="swiss"/>
    <w:pitch w:val="variable"/>
    <w:sig w:usb0="20000287" w:usb1="00000003" w:usb2="00000000" w:usb3="00000000" w:csb0="0000019F" w:csb1="00000000"/>
  </w:font>
  <w:font w:name="-webkit-standard">
    <w:altName w:val="Cambria"/>
    <w:panose1 w:val="020B0604020202020204"/>
    <w:charset w:val="00"/>
    <w:family w:val="roman"/>
    <w:notTrueType/>
    <w:pitch w:val="default"/>
  </w:font>
  <w:font w:name="TradeGothicLTStd">
    <w:altName w:val="Cambria"/>
    <w:panose1 w:val="020B0604020202020204"/>
    <w:charset w:val="00"/>
    <w:family w:val="roman"/>
    <w:notTrueType/>
    <w:pitch w:val="default"/>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oogle Sans">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0A34"/>
    <w:rsid w:val="00133F4D"/>
    <w:rsid w:val="001B13A9"/>
    <w:rsid w:val="003B029A"/>
    <w:rsid w:val="00420BC9"/>
    <w:rsid w:val="004A6746"/>
    <w:rsid w:val="00527140"/>
    <w:rsid w:val="00594573"/>
    <w:rsid w:val="006A3410"/>
    <w:rsid w:val="00763108"/>
    <w:rsid w:val="007F125C"/>
    <w:rsid w:val="00AA0A34"/>
    <w:rsid w:val="00BC5344"/>
    <w:rsid w:val="00F06C72"/>
    <w:rsid w:val="00FB56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90EF196"/>
  <w14:defaultImageDpi w14:val="32767"/>
  <w15:chartTrackingRefBased/>
  <w15:docId w15:val="{68290940-A219-0A48-B7FF-DA65C2EBB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A0A34"/>
    <w:pPr>
      <w:ind w:right="86"/>
    </w:pPr>
    <w:rPr>
      <w:rFonts w:eastAsia="Times New Roman"/>
    </w:rPr>
  </w:style>
  <w:style w:type="paragraph" w:styleId="Heading1">
    <w:name w:val="heading 1"/>
    <w:basedOn w:val="Normal"/>
    <w:next w:val="Normal"/>
    <w:link w:val="Heading1Char"/>
    <w:uiPriority w:val="9"/>
    <w:qFormat/>
    <w:rsid w:val="00AA0A34"/>
    <w:pPr>
      <w:keepNext/>
      <w:keepLines/>
      <w:spacing w:before="360" w:after="80"/>
      <w:ind w:right="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A0A34"/>
    <w:pPr>
      <w:keepNext/>
      <w:keepLines/>
      <w:spacing w:before="160" w:after="80"/>
      <w:ind w:right="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A0A34"/>
    <w:pPr>
      <w:keepNext/>
      <w:keepLines/>
      <w:spacing w:before="160" w:after="80"/>
      <w:ind w:right="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A0A34"/>
    <w:pPr>
      <w:keepNext/>
      <w:keepLines/>
      <w:spacing w:before="80" w:after="40"/>
      <w:ind w:right="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AA0A34"/>
    <w:pPr>
      <w:keepNext/>
      <w:keepLines/>
      <w:spacing w:before="80" w:after="40"/>
      <w:ind w:right="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AA0A34"/>
    <w:pPr>
      <w:keepNext/>
      <w:keepLines/>
      <w:spacing w:before="40"/>
      <w:ind w:right="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AA0A34"/>
    <w:pPr>
      <w:keepNext/>
      <w:keepLines/>
      <w:spacing w:before="40"/>
      <w:ind w:right="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AA0A34"/>
    <w:pPr>
      <w:keepNext/>
      <w:keepLines/>
      <w:ind w:right="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AA0A34"/>
    <w:pPr>
      <w:keepNext/>
      <w:keepLines/>
      <w:ind w:right="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0A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A0A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A0A34"/>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A0A34"/>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AA0A34"/>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AA0A34"/>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AA0A34"/>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A0A34"/>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A0A34"/>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AA0A34"/>
    <w:pPr>
      <w:spacing w:after="80"/>
      <w:ind w:right="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0A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0A34"/>
    <w:pPr>
      <w:numPr>
        <w:ilvl w:val="1"/>
      </w:numPr>
      <w:spacing w:after="160"/>
      <w:ind w:right="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0A34"/>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AA0A34"/>
    <w:pPr>
      <w:spacing w:before="160" w:after="160"/>
      <w:ind w:right="0"/>
      <w:jc w:val="center"/>
    </w:pPr>
    <w:rPr>
      <w:rFonts w:eastAsiaTheme="minorHAnsi"/>
      <w:i/>
      <w:iCs/>
      <w:color w:val="404040" w:themeColor="text1" w:themeTint="BF"/>
    </w:rPr>
  </w:style>
  <w:style w:type="character" w:customStyle="1" w:styleId="QuoteChar">
    <w:name w:val="Quote Char"/>
    <w:basedOn w:val="DefaultParagraphFont"/>
    <w:link w:val="Quote"/>
    <w:uiPriority w:val="29"/>
    <w:rsid w:val="00AA0A34"/>
    <w:rPr>
      <w:i/>
      <w:iCs/>
      <w:color w:val="404040" w:themeColor="text1" w:themeTint="BF"/>
    </w:rPr>
  </w:style>
  <w:style w:type="paragraph" w:styleId="ListParagraph">
    <w:name w:val="List Paragraph"/>
    <w:basedOn w:val="Normal"/>
    <w:uiPriority w:val="34"/>
    <w:qFormat/>
    <w:rsid w:val="00AA0A34"/>
    <w:pPr>
      <w:ind w:left="720" w:right="0"/>
      <w:contextualSpacing/>
    </w:pPr>
    <w:rPr>
      <w:rFonts w:eastAsiaTheme="minorHAnsi"/>
    </w:rPr>
  </w:style>
  <w:style w:type="character" w:styleId="IntenseEmphasis">
    <w:name w:val="Intense Emphasis"/>
    <w:basedOn w:val="DefaultParagraphFont"/>
    <w:uiPriority w:val="21"/>
    <w:qFormat/>
    <w:rsid w:val="00AA0A34"/>
    <w:rPr>
      <w:i/>
      <w:iCs/>
      <w:color w:val="0F4761" w:themeColor="accent1" w:themeShade="BF"/>
    </w:rPr>
  </w:style>
  <w:style w:type="paragraph" w:styleId="IntenseQuote">
    <w:name w:val="Intense Quote"/>
    <w:basedOn w:val="Normal"/>
    <w:next w:val="Normal"/>
    <w:link w:val="IntenseQuoteChar"/>
    <w:uiPriority w:val="30"/>
    <w:qFormat/>
    <w:rsid w:val="00AA0A34"/>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rPr>
  </w:style>
  <w:style w:type="character" w:customStyle="1" w:styleId="IntenseQuoteChar">
    <w:name w:val="Intense Quote Char"/>
    <w:basedOn w:val="DefaultParagraphFont"/>
    <w:link w:val="IntenseQuote"/>
    <w:uiPriority w:val="30"/>
    <w:rsid w:val="00AA0A34"/>
    <w:rPr>
      <w:i/>
      <w:iCs/>
      <w:color w:val="0F4761" w:themeColor="accent1" w:themeShade="BF"/>
    </w:rPr>
  </w:style>
  <w:style w:type="character" w:styleId="IntenseReference">
    <w:name w:val="Intense Reference"/>
    <w:basedOn w:val="DefaultParagraphFont"/>
    <w:uiPriority w:val="32"/>
    <w:qFormat/>
    <w:rsid w:val="00AA0A34"/>
    <w:rPr>
      <w:b/>
      <w:bCs/>
      <w:smallCaps/>
      <w:color w:val="0F4761" w:themeColor="accent1" w:themeShade="BF"/>
      <w:spacing w:val="5"/>
    </w:rPr>
  </w:style>
  <w:style w:type="paragraph" w:styleId="NormalWeb">
    <w:name w:val="Normal (Web)"/>
    <w:basedOn w:val="Normal"/>
    <w:uiPriority w:val="99"/>
    <w:unhideWhenUsed/>
    <w:rsid w:val="00AA0A34"/>
    <w:pPr>
      <w:spacing w:before="100" w:beforeAutospacing="1" w:after="100" w:afterAutospacing="1"/>
    </w:pPr>
  </w:style>
  <w:style w:type="character" w:styleId="Strong">
    <w:name w:val="Strong"/>
    <w:basedOn w:val="DefaultParagraphFont"/>
    <w:uiPriority w:val="22"/>
    <w:qFormat/>
    <w:rsid w:val="00AA0A34"/>
    <w:rPr>
      <w:b/>
      <w:bCs/>
    </w:rPr>
  </w:style>
  <w:style w:type="character" w:customStyle="1" w:styleId="citation-31">
    <w:name w:val="citation-31"/>
    <w:basedOn w:val="DefaultParagraphFont"/>
    <w:rsid w:val="00AA0A34"/>
  </w:style>
  <w:style w:type="character" w:customStyle="1" w:styleId="vkekvd">
    <w:name w:val="vkekvd"/>
    <w:basedOn w:val="DefaultParagraphFont"/>
    <w:rsid w:val="00AA0A34"/>
  </w:style>
  <w:style w:type="character" w:styleId="Hyperlink">
    <w:name w:val="Hyperlink"/>
    <w:basedOn w:val="DefaultParagraphFont"/>
    <w:uiPriority w:val="99"/>
    <w:semiHidden/>
    <w:unhideWhenUsed/>
    <w:rsid w:val="00AA0A34"/>
    <w:rPr>
      <w:color w:val="0000FF"/>
      <w:u w:val="single"/>
    </w:rPr>
  </w:style>
  <w:style w:type="character" w:customStyle="1" w:styleId="apple-converted-space">
    <w:name w:val="apple-converted-space"/>
    <w:basedOn w:val="DefaultParagraphFont"/>
    <w:rsid w:val="00AA0A34"/>
  </w:style>
  <w:style w:type="character" w:customStyle="1" w:styleId="t286pc">
    <w:name w:val="t286pc"/>
    <w:basedOn w:val="DefaultParagraphFont"/>
    <w:rsid w:val="00AA0A34"/>
  </w:style>
  <w:style w:type="character" w:styleId="Emphasis">
    <w:name w:val="Emphasis"/>
    <w:basedOn w:val="DefaultParagraphFont"/>
    <w:uiPriority w:val="20"/>
    <w:qFormat/>
    <w:rsid w:val="00AA0A3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fred.stlouisfed.org/series/GDPCA" TargetMode="External"/><Relationship Id="rId13" Type="http://schemas.openxmlformats.org/officeDocument/2006/relationships/hyperlink" Target="https://doi.org/10.1126/science.aah5237" TargetMode="External"/><Relationship Id="rId3" Type="http://schemas.openxmlformats.org/officeDocument/2006/relationships/webSettings" Target="webSettings.xml"/><Relationship Id="rId7" Type="http://schemas.microsoft.com/office/2007/relationships/hdphoto" Target="media/hdphoto2.wdp"/><Relationship Id="rId12" Type="http://schemas.openxmlformats.org/officeDocument/2006/relationships/hyperlink" Target="https://doi.org/10.1126/science.aat907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hyperlink" Target="https://doi.org/10.1021/acs.biochem.9b00237" TargetMode="External"/><Relationship Id="rId5" Type="http://schemas.microsoft.com/office/2007/relationships/hdphoto" Target="media/hdphoto1.wdp"/><Relationship Id="rId15" Type="http://schemas.openxmlformats.org/officeDocument/2006/relationships/theme" Target="theme/theme1.xml"/><Relationship Id="rId10" Type="http://schemas.openxmlformats.org/officeDocument/2006/relationships/hyperlink" Target="https://doi.org/10.1126/science.add4514" TargetMode="External"/><Relationship Id="rId4" Type="http://schemas.openxmlformats.org/officeDocument/2006/relationships/image" Target="media/image1.png"/><Relationship Id="rId9" Type="http://schemas.openxmlformats.org/officeDocument/2006/relationships/hyperlink" Target="https://doi.org/10.1038/s41560-024-01606-7"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16</Pages>
  <Words>6812</Words>
  <Characters>39652</Characters>
  <Application>Microsoft Office Word</Application>
  <DocSecurity>0</DocSecurity>
  <Lines>610</Lines>
  <Paragraphs>209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46255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DeLisi</dc:creator>
  <cp:keywords/>
  <dc:description/>
  <cp:lastModifiedBy>charles DeLisi</cp:lastModifiedBy>
  <cp:revision>4</cp:revision>
  <dcterms:created xsi:type="dcterms:W3CDTF">2026-04-13T17:40:00Z</dcterms:created>
  <dcterms:modified xsi:type="dcterms:W3CDTF">2026-04-14T11:31:00Z</dcterms:modified>
  <cp:category/>
</cp:coreProperties>
</file>