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B7C89F" w14:textId="77777777" w:rsidR="00BB558E" w:rsidRPr="000214AC" w:rsidRDefault="00BB558E" w:rsidP="00BB558E">
      <w:pPr>
        <w:autoSpaceDE w:val="0"/>
        <w:autoSpaceDN w:val="0"/>
        <w:adjustRightInd w:val="0"/>
        <w:spacing w:after="120"/>
        <w:ind w:right="0" w:hanging="450"/>
        <w:rPr>
          <w:b/>
          <w:bCs/>
          <w:color w:val="0A0A0A"/>
          <w:sz w:val="32"/>
          <w:szCs w:val="32"/>
        </w:rPr>
      </w:pPr>
      <w:r>
        <w:rPr>
          <w:b/>
          <w:bCs/>
          <w:color w:val="0A0A0A"/>
          <w:sz w:val="32"/>
          <w:szCs w:val="32"/>
        </w:rPr>
        <w:tab/>
      </w:r>
      <w:r>
        <w:rPr>
          <w:b/>
          <w:bCs/>
          <w:color w:val="0A0A0A"/>
          <w:sz w:val="32"/>
          <w:szCs w:val="32"/>
        </w:rPr>
        <w:tab/>
      </w:r>
      <w:r>
        <w:rPr>
          <w:b/>
          <w:bCs/>
          <w:color w:val="0A0A0A"/>
          <w:sz w:val="32"/>
          <w:szCs w:val="32"/>
        </w:rPr>
        <w:tab/>
      </w:r>
      <w:r>
        <w:rPr>
          <w:b/>
          <w:bCs/>
          <w:color w:val="0A0A0A"/>
          <w:sz w:val="32"/>
          <w:szCs w:val="32"/>
        </w:rPr>
        <w:tab/>
        <w:t xml:space="preserve">9. </w:t>
      </w:r>
      <w:r w:rsidRPr="00A02EA8">
        <w:rPr>
          <w:b/>
          <w:bCs/>
          <w:sz w:val="32"/>
          <w:szCs w:val="32"/>
        </w:rPr>
        <w:t>The Third Miracle</w:t>
      </w:r>
    </w:p>
    <w:p w14:paraId="5A985812" w14:textId="77777777" w:rsidR="00BB558E" w:rsidRDefault="00BB558E" w:rsidP="00BB558E">
      <w:pPr>
        <w:autoSpaceDE w:val="0"/>
        <w:autoSpaceDN w:val="0"/>
        <w:adjustRightInd w:val="0"/>
        <w:ind w:right="0" w:hanging="450"/>
        <w:rPr>
          <w:i/>
          <w:iCs/>
        </w:rPr>
      </w:pPr>
      <w:r>
        <w:rPr>
          <w:i/>
          <w:iCs/>
        </w:rPr>
        <w:tab/>
        <w:t xml:space="preserve">A new idea is first condemned as ridiculous and then dismissed as trivial, until </w:t>
      </w:r>
      <w:r>
        <w:rPr>
          <w:i/>
          <w:iCs/>
        </w:rPr>
        <w:tab/>
      </w:r>
      <w:r>
        <w:rPr>
          <w:i/>
          <w:iCs/>
        </w:rPr>
        <w:tab/>
        <w:t xml:space="preserve">finally, it becomes what everybody knows. </w:t>
      </w:r>
    </w:p>
    <w:p w14:paraId="2177A25A" w14:textId="77777777" w:rsidR="00BB558E" w:rsidRDefault="00BB558E" w:rsidP="00BB558E">
      <w:pPr>
        <w:autoSpaceDE w:val="0"/>
        <w:autoSpaceDN w:val="0"/>
        <w:adjustRightInd w:val="0"/>
        <w:ind w:right="0" w:hanging="450"/>
      </w:pPr>
      <w:r>
        <w:rPr>
          <w:i/>
          <w:iCs/>
        </w:rPr>
        <w:tab/>
      </w:r>
      <w:r>
        <w:rPr>
          <w:i/>
          <w:iCs/>
        </w:rPr>
        <w:tab/>
      </w:r>
      <w:r>
        <w:rPr>
          <w:i/>
          <w:iCs/>
        </w:rPr>
        <w:tab/>
      </w:r>
      <w:r>
        <w:rPr>
          <w:i/>
          <w:iCs/>
        </w:rPr>
        <w:tab/>
      </w:r>
      <w:r>
        <w:rPr>
          <w:i/>
          <w:iCs/>
        </w:rPr>
        <w:tab/>
      </w:r>
      <w:r>
        <w:t>William James</w:t>
      </w:r>
    </w:p>
    <w:p w14:paraId="059C1B2F" w14:textId="77777777" w:rsidR="00BB558E" w:rsidRDefault="00BB558E" w:rsidP="00BB558E">
      <w:pPr>
        <w:tabs>
          <w:tab w:val="left" w:pos="720"/>
        </w:tabs>
        <w:autoSpaceDE w:val="0"/>
        <w:autoSpaceDN w:val="0"/>
        <w:adjustRightInd w:val="0"/>
        <w:ind w:right="0"/>
      </w:pPr>
    </w:p>
    <w:p w14:paraId="50CB8E4C" w14:textId="77777777" w:rsidR="00BB558E" w:rsidRDefault="00BB558E" w:rsidP="00BB558E">
      <w:pPr>
        <w:tabs>
          <w:tab w:val="left" w:pos="720"/>
        </w:tabs>
        <w:autoSpaceDE w:val="0"/>
        <w:autoSpaceDN w:val="0"/>
        <w:adjustRightInd w:val="0"/>
        <w:spacing w:after="120"/>
        <w:ind w:right="0"/>
      </w:pPr>
      <w:r>
        <w:t>A great deal can be learned about the sociology of science—its dynamics, the malleability of its culture and its response to major obstacles—by examining the evolution of the Human Genome Project (HGP). A low resolution view of the HGP's trajectory can be conveyed</w:t>
      </w:r>
      <w:r>
        <w:rPr>
          <w:b/>
          <w:bCs/>
        </w:rPr>
        <w:t xml:space="preserve"> </w:t>
      </w:r>
      <w:r>
        <w:t>by snapshots of its scientific and political status at three different points in time: 1990, shortly after its launch; 2010, a decade after announcement of the first draft; and a final assessment in 2025.</w:t>
      </w:r>
    </w:p>
    <w:p w14:paraId="2C1EEA9A" w14:textId="77777777" w:rsidR="00BB558E" w:rsidRDefault="00BB558E" w:rsidP="00BB558E">
      <w:pPr>
        <w:ind w:right="0"/>
      </w:pPr>
      <w:r>
        <w:t xml:space="preserve">By 1990 some important organizational and cultural lessons were beginning to emerge, some technical progress had been made, and we were beginning to see important discoveries. It was, however, much too early to feel the effect of the primary budget driver—clinical success. By the second date a decade had passed since the historic White House announcement, and asking what had been accomplished was more than reasonable: did the HGP deliver on its promise, and did the value added justify the cultural turmoil and the economic cost? Now, more than two decades later,  we have a reasonably clear picture of its impact and can comment knowledgably on where it delivered, where it has yet to deliver, and where it will never deliver. That somewhat startling closing, </w:t>
      </w:r>
      <w:r w:rsidRPr="006A5FA3">
        <w:rPr>
          <w:i/>
          <w:iCs/>
        </w:rPr>
        <w:t>it will never deliver</w:t>
      </w:r>
      <w:r>
        <w:t>, reflects, as I will later explain, a scientific misunderstanding of the times—but it also reminds us of one of the most important legacies of the HGP: the profound knowledge that something previously hidden and unimagined is now fully visible.</w:t>
      </w:r>
    </w:p>
    <w:p w14:paraId="391AEC7D" w14:textId="77777777" w:rsidR="00BB558E" w:rsidRDefault="00BB558E" w:rsidP="00BB558E">
      <w:pPr>
        <w:ind w:right="0"/>
      </w:pPr>
    </w:p>
    <w:p w14:paraId="58EF4961" w14:textId="77777777" w:rsidR="00BB558E" w:rsidRDefault="00BB558E" w:rsidP="00BB558E">
      <w:pPr>
        <w:tabs>
          <w:tab w:val="left" w:pos="720"/>
        </w:tabs>
        <w:autoSpaceDE w:val="0"/>
        <w:autoSpaceDN w:val="0"/>
        <w:adjustRightInd w:val="0"/>
        <w:spacing w:after="120"/>
        <w:ind w:right="0"/>
        <w:rPr>
          <w:b/>
          <w:bCs/>
          <w:sz w:val="28"/>
          <w:szCs w:val="28"/>
        </w:rPr>
      </w:pPr>
      <w:r>
        <w:rPr>
          <w:b/>
          <w:bCs/>
          <w:sz w:val="28"/>
          <w:szCs w:val="28"/>
        </w:rPr>
        <w:t>1990: A Second Start</w:t>
      </w:r>
    </w:p>
    <w:p w14:paraId="6EDF0380" w14:textId="77777777" w:rsidR="00BB558E" w:rsidRPr="00D2222B" w:rsidRDefault="00BB558E" w:rsidP="00BB558E">
      <w:pPr>
        <w:tabs>
          <w:tab w:val="left" w:pos="720"/>
        </w:tabs>
        <w:autoSpaceDE w:val="0"/>
        <w:autoSpaceDN w:val="0"/>
        <w:adjustRightInd w:val="0"/>
        <w:spacing w:after="120"/>
        <w:ind w:right="0"/>
        <w:rPr>
          <w:u w:val="single"/>
        </w:rPr>
      </w:pPr>
      <w:r w:rsidRPr="00D2222B">
        <w:rPr>
          <w:b/>
          <w:bCs/>
          <w:u w:val="single"/>
        </w:rPr>
        <w:t>The Backdrop</w:t>
      </w:r>
    </w:p>
    <w:p w14:paraId="7C96299A" w14:textId="77777777" w:rsidR="00BB558E" w:rsidRDefault="00BB558E" w:rsidP="00BB558E">
      <w:pPr>
        <w:tabs>
          <w:tab w:val="left" w:pos="720"/>
        </w:tabs>
        <w:autoSpaceDE w:val="0"/>
        <w:autoSpaceDN w:val="0"/>
        <w:adjustRightInd w:val="0"/>
        <w:spacing w:after="120"/>
        <w:ind w:right="0"/>
      </w:pPr>
      <w:r>
        <w:t xml:space="preserve">The label "second start" might seem strange because 1990 is almost universally acknowledged as the HGP’s start date. However, the Project was officially and legally launched three years earlier when Congress approved a Human Genome Project line item in President Reagan’s 1987 budget submission. The 1990 date was later adopted by the scientific community to allow more time to bring the Project to completion. While an aggressive Department of Energy (DOE) timeline from 1986 envisioned a 15-year project that would be completed shortly after the turn of the century </w:t>
      </w:r>
      <w:r w:rsidRPr="00073813">
        <w:t>(</w:t>
      </w:r>
      <w:r>
        <w:t>1</w:t>
      </w:r>
      <w:r w:rsidRPr="00073813">
        <w:t>),</w:t>
      </w:r>
      <w:r>
        <w:t xml:space="preserve"> the broader community projected a 2005 completion date. Ultimately, a bullish economy and intense competition from the private sector accelerated this timeline, pushing completion of a draft sequence closer to DOE's original projection. Had the private sector, and Celera in particular </w:t>
      </w:r>
      <w:r w:rsidRPr="00073813">
        <w:t>(</w:t>
      </w:r>
      <w:r>
        <w:t>2</w:t>
      </w:r>
      <w:r w:rsidRPr="00073813">
        <w:t>),</w:t>
      </w:r>
      <w:r>
        <w:t xml:space="preserve"> not entered the race, the project might have stalled until the end of the decade due to the economic downturn of the early 2000s.</w:t>
      </w:r>
    </w:p>
    <w:p w14:paraId="27C6EC90" w14:textId="77777777" w:rsidR="00BB558E" w:rsidRDefault="00BB558E" w:rsidP="00BB558E">
      <w:pPr>
        <w:tabs>
          <w:tab w:val="left" w:pos="720"/>
        </w:tabs>
        <w:autoSpaceDE w:val="0"/>
        <w:autoSpaceDN w:val="0"/>
        <w:adjustRightInd w:val="0"/>
        <w:spacing w:after="120"/>
        <w:ind w:right="0"/>
      </w:pPr>
      <w:r>
        <w:t xml:space="preserve">The logistical friction between the </w:t>
      </w:r>
      <w:r w:rsidRPr="00E937D3">
        <w:t>federal government</w:t>
      </w:r>
      <w:r>
        <w:t xml:space="preserve"> and industry, which reflected a science policy in deep malaise, was merely a surface manifestation of cultural and organizational turmoil. Beyond the debates over timelines and budgets, the Project faced significant resistance regarding what was considered "sensible" science. Cultural barriers ranged from rank-and-file outrage, with some dismissing the topic as inappropriate for "polite company"—to vague criticisms that it was "bad," "unthought out," or "hyped" science </w:t>
      </w:r>
      <w:r w:rsidRPr="00E937D3">
        <w:t>(</w:t>
      </w:r>
      <w:r>
        <w:t>3</w:t>
      </w:r>
      <w:r w:rsidRPr="00E937D3">
        <w:t>).</w:t>
      </w:r>
      <w:r>
        <w:t xml:space="preserve"> </w:t>
      </w:r>
    </w:p>
    <w:p w14:paraId="156E0E48" w14:textId="77777777" w:rsidR="00BB558E" w:rsidRDefault="00BB558E" w:rsidP="00BB558E">
      <w:pPr>
        <w:tabs>
          <w:tab w:val="left" w:pos="720"/>
        </w:tabs>
        <w:autoSpaceDE w:val="0"/>
        <w:autoSpaceDN w:val="0"/>
        <w:adjustRightInd w:val="0"/>
        <w:spacing w:after="120"/>
        <w:ind w:right="0"/>
      </w:pPr>
      <w:r>
        <w:t xml:space="preserve">Ironically, one of the most serious scientific objections—the claim that sequencing would reveal very little because so much of the genome is non-coding—proved to be entirely incorrect. In </w:t>
      </w:r>
      <w:r>
        <w:lastRenderedPageBreak/>
        <w:t xml:space="preserve">fact, even then, scientists knew that a sizable portion of the genome was transcribed into RNA but not translated into protein; ribosomal and transfer RNA are two classic examples. What no one knew was exactly </w:t>
      </w:r>
      <w:r>
        <w:rPr>
          <w:i/>
          <w:iCs/>
        </w:rPr>
        <w:t>how much</w:t>
      </w:r>
      <w:r>
        <w:t xml:space="preserve"> non-protein-coding DNA is transcribed into non-translated RNA. We now know that the amount of DNA committed to these non-translated RNAs is comparable to the amount committed to proteins.</w:t>
      </w:r>
    </w:p>
    <w:p w14:paraId="3A269BF3" w14:textId="77777777" w:rsidR="00BB558E" w:rsidRPr="004866A4" w:rsidRDefault="00BB558E" w:rsidP="00BB558E">
      <w:pPr>
        <w:autoSpaceDE w:val="0"/>
        <w:autoSpaceDN w:val="0"/>
        <w:adjustRightInd w:val="0"/>
        <w:spacing w:after="120"/>
        <w:ind w:right="0" w:hanging="7"/>
      </w:pPr>
      <w:r w:rsidRPr="00F21C05">
        <w:t>With respect to the practice of science, lessons learned can, for simplicity, be divided into two groups: conventional and disruptive. The former falls well within the cultural framework of the time, while the latter pushes its boundaries. The conventional lessons, articulated by Francis Collins and colleagues (4), held no surprises, emphasizing the importance of partnerships, technology development, and ethics. The disruptive lessons, described by Ari Patrinos, David Galas, and myself (5), advanced ideas that shocked the establishment and were seldom recognized as early examples of behaviors likely to recur with increasing frequency.</w:t>
      </w:r>
    </w:p>
    <w:p w14:paraId="7639912A" w14:textId="77777777" w:rsidR="00BB558E" w:rsidRDefault="00BB558E" w:rsidP="00BB558E">
      <w:pPr>
        <w:autoSpaceDE w:val="0"/>
        <w:autoSpaceDN w:val="0"/>
        <w:adjustRightInd w:val="0"/>
        <w:spacing w:after="120"/>
        <w:ind w:right="0" w:hanging="7"/>
      </w:pPr>
      <w:r w:rsidRPr="0075289E">
        <w:t>The trauma of the HGP stemmed from the suddenness with which it emerged, its unconventional approach to science, and its institutional origin. It was born not at NIH, but at DOE—an agency rightly considered to be at the fringes of biomedical science. DOE was home to physicists, not biologists; it provided some 90% of the nation’s budget for high-energy and nuclear physics, as well as virtually the entire nuclear fusion budget. In contrast, its health sciences program—focused largely on the effects of radiation—was not only minuscule but in steady decline, and largely unnoticed by the life sciences community.</w:t>
      </w:r>
    </w:p>
    <w:p w14:paraId="1982FAEF" w14:textId="77777777" w:rsidR="00BB558E" w:rsidRPr="00E07ECB" w:rsidRDefault="00BB558E" w:rsidP="00BB558E">
      <w:pPr>
        <w:autoSpaceDE w:val="0"/>
        <w:autoSpaceDN w:val="0"/>
        <w:adjustRightInd w:val="0"/>
        <w:spacing w:after="120"/>
        <w:ind w:right="0" w:hanging="7"/>
      </w:pPr>
      <w:r>
        <w:t>With respect to abruptness, the introduction</w:t>
      </w:r>
      <w:r w:rsidRPr="00654F36">
        <w:t xml:space="preserve"> </w:t>
      </w:r>
      <w:r>
        <w:t>of a mega-scale shared resource</w:t>
      </w:r>
      <w:r w:rsidRPr="00654F36">
        <w:t xml:space="preserve"> </w:t>
      </w:r>
      <w:r>
        <w:t xml:space="preserve">into a research culture unaccustomed to bold thinking, let alone bold actions, bordered on traumatic. The NIH peer-review </w:t>
      </w:r>
      <w:r w:rsidRPr="0081239D">
        <w:t>process (</w:t>
      </w:r>
      <w:r>
        <w:t>6</w:t>
      </w:r>
      <w:r w:rsidRPr="0081239D">
        <w:t>)</w:t>
      </w:r>
      <w:r>
        <w:t xml:space="preserve"> was oriented almost entirely toward the proven effectiveness of hypothesis-driven research, leaving little room for large-scale resource development. An engineering effort with the scope and complexity of the Human Genome Project lay well beyond what the community had previously imagined, much less attempted to implement.</w:t>
      </w:r>
      <w:r w:rsidRPr="00E07ECB">
        <w:rPr>
          <w:b/>
          <w:bCs/>
          <w:color w:val="000000"/>
        </w:rPr>
        <w:t xml:space="preserve"> </w:t>
      </w:r>
      <w:r w:rsidRPr="00E07ECB">
        <w:rPr>
          <w:color w:val="000000"/>
        </w:rPr>
        <w:t>This cultural friction, however, masked a deeper evolution: a growing, albeit quieter, realization that scientific progress required an openness to unconventional ideas, regardless of their origins.</w:t>
      </w:r>
    </w:p>
    <w:p w14:paraId="50E17445" w14:textId="77777777" w:rsidR="00BB558E" w:rsidRDefault="00BB558E" w:rsidP="00BB558E">
      <w:pPr>
        <w:autoSpaceDE w:val="0"/>
        <w:autoSpaceDN w:val="0"/>
        <w:adjustRightInd w:val="0"/>
        <w:spacing w:after="120"/>
        <w:ind w:right="0" w:hanging="7"/>
      </w:pPr>
      <w:r w:rsidRPr="00E07ECB">
        <w:rPr>
          <w:color w:val="000000"/>
        </w:rPr>
        <w:t>It was this newfound flexibility that allowed the DOE and NIH to reject the traditional "Moon-shot" model when launching the Project.</w:t>
      </w:r>
      <w:r>
        <w:rPr>
          <w:color w:val="000000"/>
        </w:rPr>
        <w:t xml:space="preserve"> </w:t>
      </w:r>
      <w:r w:rsidRPr="00E07ECB">
        <w:t>Although that might have been an appealing, and almost Romantic notion, both agencies</w:t>
      </w:r>
      <w:r>
        <w:t xml:space="preserve"> were careful to call attention to an important distinction. Unlike its two technologically miraculous predecessors, which saw no dividends until completion, the HGP yielded important results well before the 2001 Whitehouse announcement.  Notwithstanding the end goal of a complete sequence, the necessary precursors of building computational resources and developing maps of the genome, were in process from the outset—and they saw numerous early returns including the following.</w:t>
      </w:r>
    </w:p>
    <w:p w14:paraId="743665E9" w14:textId="77777777" w:rsidR="00BB558E" w:rsidRDefault="00BB558E" w:rsidP="00BB558E">
      <w:pPr>
        <w:pStyle w:val="NormalWeb"/>
        <w:spacing w:before="0" w:beforeAutospacing="0" w:after="0" w:afterAutospacing="0"/>
        <w:ind w:right="0"/>
        <w:rPr>
          <w:b/>
          <w:bCs/>
        </w:rPr>
      </w:pPr>
      <w:r w:rsidRPr="00116613">
        <w:rPr>
          <w:b/>
          <w:bCs/>
        </w:rPr>
        <w:t>Linkage studies in the era of physical maps (1994–1995) (7).</w:t>
      </w:r>
    </w:p>
    <w:p w14:paraId="65F09C98" w14:textId="77777777" w:rsidR="00BB558E" w:rsidRPr="00116613" w:rsidRDefault="00BB558E" w:rsidP="00BB558E">
      <w:pPr>
        <w:pStyle w:val="NormalWeb"/>
        <w:spacing w:before="0" w:beforeAutospacing="0" w:after="0" w:afterAutospacing="0"/>
        <w:ind w:right="0"/>
        <w:rPr>
          <w:b/>
          <w:bCs/>
          <w:i/>
          <w:iCs/>
        </w:rPr>
      </w:pPr>
      <w:r w:rsidRPr="00116613">
        <w:rPr>
          <w:i/>
          <w:iCs/>
          <w:color w:val="000000"/>
        </w:rPr>
        <w:t>Early-Onset Alzheimer’s Disease (PSEN1)</w:t>
      </w:r>
    </w:p>
    <w:p w14:paraId="5AB46449" w14:textId="77777777" w:rsidR="00BB558E" w:rsidRDefault="00BB558E" w:rsidP="00BB558E">
      <w:pPr>
        <w:pStyle w:val="NormalWeb"/>
        <w:spacing w:before="0" w:beforeAutospacing="0" w:after="0" w:afterAutospacing="0"/>
        <w:ind w:right="0"/>
      </w:pPr>
      <w:r w:rsidRPr="003D5B92">
        <w:rPr>
          <w:color w:val="000000"/>
        </w:rPr>
        <w:t xml:space="preserve">The PSEN1 protein is part of a larger protein complex that helps cut </w:t>
      </w:r>
      <w:r>
        <w:rPr>
          <w:color w:val="000000"/>
        </w:rPr>
        <w:t xml:space="preserve">the </w:t>
      </w:r>
      <w:r w:rsidRPr="003D5B92">
        <w:rPr>
          <w:color w:val="000000"/>
        </w:rPr>
        <w:t>amyloid precursor protein into smaller fragments</w:t>
      </w:r>
      <w:r w:rsidRPr="00EB5662">
        <w:rPr>
          <w:color w:val="000000"/>
        </w:rPr>
        <w:t>.</w:t>
      </w:r>
      <w:r w:rsidRPr="003D5B92">
        <w:rPr>
          <w:color w:val="000000"/>
        </w:rPr>
        <w:t xml:space="preserve"> When PSEN1 is mutated, cutting produc</w:t>
      </w:r>
      <w:r>
        <w:rPr>
          <w:color w:val="000000"/>
        </w:rPr>
        <w:t>es</w:t>
      </w:r>
      <w:r w:rsidRPr="003D5B92">
        <w:rPr>
          <w:color w:val="000000"/>
        </w:rPr>
        <w:t xml:space="preserve"> longer amyloid fragments that are especially prone to sticking together. Over time, fragments accumulate and form the plaques that are a hallmark of</w:t>
      </w:r>
      <w:r>
        <w:rPr>
          <w:color w:val="000000"/>
        </w:rPr>
        <w:t xml:space="preserve"> </w:t>
      </w:r>
      <w:r w:rsidRPr="003D5B92">
        <w:rPr>
          <w:color w:val="000000"/>
        </w:rPr>
        <w:t>Alzheimer’s disease</w:t>
      </w:r>
      <w:r>
        <w:rPr>
          <w:color w:val="000000"/>
        </w:rPr>
        <w:t xml:space="preserve"> (AD)</w:t>
      </w:r>
      <w:r w:rsidRPr="003D5B92">
        <w:rPr>
          <w:color w:val="000000"/>
        </w:rPr>
        <w:t xml:space="preserve">. </w:t>
      </w:r>
      <w:r>
        <w:t>Mutations in PSEN1 are responsible for up to 70 percent of inherited early onset AD cases in which a single mutated copy of the gene is sufficient to cause disease.</w:t>
      </w:r>
    </w:p>
    <w:p w14:paraId="55782207" w14:textId="77777777" w:rsidR="00BB558E" w:rsidRDefault="00BB558E" w:rsidP="00BB558E">
      <w:pPr>
        <w:pStyle w:val="NormalWeb"/>
        <w:ind w:right="0"/>
        <w:rPr>
          <w:color w:val="000000"/>
        </w:rPr>
      </w:pPr>
      <w:r w:rsidRPr="003D5B92">
        <w:rPr>
          <w:color w:val="000000"/>
        </w:rPr>
        <w:lastRenderedPageBreak/>
        <w:t xml:space="preserve">By the mid-1990s, enough progress had been made in physical mapping and DNA sequencing that this gene could be located and identified rapidly once linkage evidence pointed to the correct </w:t>
      </w:r>
      <w:r w:rsidRPr="00B9342D">
        <w:rPr>
          <w:color w:val="000000"/>
        </w:rPr>
        <w:t>chromosomal region.</w:t>
      </w:r>
      <w:r w:rsidRPr="003D5B92">
        <w:rPr>
          <w:color w:val="000000"/>
        </w:rPr>
        <w:t xml:space="preserve"> In contrast to the decade-long journey from linkage to gene identification in ea</w:t>
      </w:r>
      <w:r w:rsidRPr="00B9342D">
        <w:rPr>
          <w:color w:val="000000"/>
        </w:rPr>
        <w:t>rlier</w:t>
      </w:r>
      <w:r w:rsidRPr="003D5B92">
        <w:rPr>
          <w:color w:val="000000"/>
        </w:rPr>
        <w:t xml:space="preserve"> disorders such as Huntington disease, the interval for PSEN1 was compressed to roughly a year. </w:t>
      </w:r>
      <w:r w:rsidRPr="0050128E">
        <w:rPr>
          <w:color w:val="000000"/>
        </w:rPr>
        <w:t xml:space="preserve">The difference was not serendipity. It reflected the new genomic infrastructure — dense maps, </w:t>
      </w:r>
      <w:r>
        <w:t>collections of cloned fragments that each carry very long stretches of genomic DNA (so-called large insert libraries)</w:t>
      </w:r>
      <w:r w:rsidRPr="0050128E">
        <w:rPr>
          <w:color w:val="000000"/>
        </w:rPr>
        <w:t>, and rapidly improving sequencing capacity — that had emerged during the early years of the Human Genome Project. What had once been a long exploratory expedition had become a far more direct and disciplined search.</w:t>
      </w:r>
    </w:p>
    <w:p w14:paraId="7CBE5AC1" w14:textId="77777777" w:rsidR="00BB558E" w:rsidRPr="00BA1E79" w:rsidRDefault="00BB558E" w:rsidP="00BB558E">
      <w:pPr>
        <w:pStyle w:val="NormalWeb"/>
        <w:spacing w:before="0" w:beforeAutospacing="0" w:after="0" w:afterAutospacing="0"/>
        <w:ind w:right="0"/>
        <w:rPr>
          <w:i/>
          <w:iCs/>
          <w:color w:val="000000"/>
        </w:rPr>
      </w:pPr>
      <w:r>
        <w:rPr>
          <w:i/>
          <w:iCs/>
          <w:color w:val="000000"/>
        </w:rPr>
        <w:t xml:space="preserve">Cancer Genetics: </w:t>
      </w:r>
      <w:r w:rsidRPr="00BA1E79">
        <w:rPr>
          <w:i/>
          <w:iCs/>
          <w:color w:val="000000"/>
        </w:rPr>
        <w:t>BRCA2</w:t>
      </w:r>
    </w:p>
    <w:p w14:paraId="2DAC93C1" w14:textId="77777777" w:rsidR="00BB558E" w:rsidRDefault="00BB558E" w:rsidP="00BB558E">
      <w:pPr>
        <w:pStyle w:val="NormalWeb"/>
        <w:spacing w:before="0" w:beforeAutospacing="0" w:after="0" w:afterAutospacing="0"/>
        <w:ind w:right="0"/>
        <w:rPr>
          <w:color w:val="000000"/>
        </w:rPr>
      </w:pPr>
      <w:r>
        <w:rPr>
          <w:color w:val="000000"/>
        </w:rPr>
        <w:t xml:space="preserve">Mutations in the </w:t>
      </w:r>
      <w:r w:rsidRPr="00623C12">
        <w:rPr>
          <w:color w:val="000000"/>
        </w:rPr>
        <w:t xml:space="preserve">BRCA2 </w:t>
      </w:r>
      <w:r>
        <w:rPr>
          <w:color w:val="000000"/>
        </w:rPr>
        <w:t>gene</w:t>
      </w:r>
      <w:r w:rsidRPr="00623C12">
        <w:rPr>
          <w:color w:val="000000"/>
        </w:rPr>
        <w:t xml:space="preserve"> predispose not only to female breast cancer, but also male breast cancer, ovarian cancer, pancreatic cancer, and others.</w:t>
      </w:r>
      <w:r>
        <w:rPr>
          <w:color w:val="000000"/>
        </w:rPr>
        <w:t xml:space="preserve"> Discovery of BRCA2</w:t>
      </w:r>
      <w:r w:rsidRPr="00623C12">
        <w:rPr>
          <w:color w:val="000000"/>
        </w:rPr>
        <w:t xml:space="preserve"> helped establish hereditary breast cancer as a molecularly definable clinical entity and laid groundwork for genetic testing and, later, targeted therapies.  </w:t>
      </w:r>
      <w:r>
        <w:rPr>
          <w:color w:val="000000"/>
        </w:rPr>
        <w:t>I</w:t>
      </w:r>
      <w:r w:rsidRPr="00623C12">
        <w:rPr>
          <w:color w:val="000000"/>
        </w:rPr>
        <w:t xml:space="preserve">ts importance </w:t>
      </w:r>
      <w:r>
        <w:rPr>
          <w:color w:val="000000"/>
        </w:rPr>
        <w:t xml:space="preserve">therefore </w:t>
      </w:r>
      <w:r w:rsidRPr="00623C12">
        <w:rPr>
          <w:color w:val="000000"/>
        </w:rPr>
        <w:t>extends beyond gene mapping into cancer biology and precision medicine.</w:t>
      </w:r>
    </w:p>
    <w:p w14:paraId="50AD0D7B" w14:textId="77777777" w:rsidR="00BB558E" w:rsidRPr="00A02FC2" w:rsidRDefault="00BB558E" w:rsidP="00BB558E">
      <w:pPr>
        <w:pStyle w:val="NormalWeb"/>
        <w:spacing w:before="0" w:beforeAutospacing="0" w:after="0" w:afterAutospacing="0"/>
        <w:ind w:right="0"/>
        <w:rPr>
          <w:i/>
          <w:iCs/>
          <w:u w:val="single"/>
        </w:rPr>
      </w:pPr>
    </w:p>
    <w:p w14:paraId="19EB14A2" w14:textId="77777777" w:rsidR="00BB558E" w:rsidRDefault="00BB558E" w:rsidP="00BB558E">
      <w:pPr>
        <w:autoSpaceDE w:val="0"/>
        <w:autoSpaceDN w:val="0"/>
        <w:adjustRightInd w:val="0"/>
        <w:spacing w:after="120"/>
        <w:ind w:right="0" w:hanging="7"/>
      </w:pPr>
      <w:r>
        <w:t>The BRCA2 story illustrates the broader maturation of genomic infrastructure. Linkage to a region on chromosome 13 was reported in 1994. By then dense marker maps, ordered clone libraries, and emerging high-throughput sequencing capacity were already in place so investigators could immediately retrieve overlapping clones spanning the linked interval and sequence candidate genes systematically. Within roughly a year, BRCA2 was identified. Beyond its role in hereditary breast and ovarian cancer, the gene illuminated a central DNA-repair pathway and helped launch clinical cancer genetics. In this case, the Human Genome Project didn't merely accelerate gene hunting; it transformed it from a bespoke craft into a scalable enterprise. [Con</w:t>
      </w:r>
    </w:p>
    <w:p w14:paraId="6A83425F" w14:textId="77777777" w:rsidR="00BB558E" w:rsidRDefault="00BB558E" w:rsidP="00BB558E">
      <w:pPr>
        <w:autoSpaceDE w:val="0"/>
        <w:autoSpaceDN w:val="0"/>
        <w:adjustRightInd w:val="0"/>
        <w:spacing w:after="120"/>
        <w:ind w:right="0" w:hanging="7"/>
        <w:rPr>
          <w:b/>
          <w:bCs/>
          <w:sz w:val="28"/>
          <w:szCs w:val="28"/>
        </w:rPr>
      </w:pPr>
    </w:p>
    <w:p w14:paraId="48962734" w14:textId="77777777" w:rsidR="00BB558E" w:rsidRPr="00326926" w:rsidRDefault="00BB558E" w:rsidP="00BB558E">
      <w:pPr>
        <w:autoSpaceDE w:val="0"/>
        <w:autoSpaceDN w:val="0"/>
        <w:adjustRightInd w:val="0"/>
        <w:spacing w:after="120"/>
        <w:ind w:right="0" w:hanging="7"/>
      </w:pPr>
      <w:r>
        <w:rPr>
          <w:b/>
          <w:bCs/>
          <w:sz w:val="28"/>
          <w:szCs w:val="28"/>
        </w:rPr>
        <w:t>2010: A Decade After the Announcement</w:t>
      </w:r>
    </w:p>
    <w:p w14:paraId="436AD6EC" w14:textId="77777777" w:rsidR="00BB558E" w:rsidRPr="00700616" w:rsidRDefault="00BB558E" w:rsidP="00BB558E">
      <w:pPr>
        <w:autoSpaceDE w:val="0"/>
        <w:autoSpaceDN w:val="0"/>
        <w:adjustRightInd w:val="0"/>
        <w:ind w:right="0"/>
        <w:rPr>
          <w:i/>
          <w:iCs/>
        </w:rPr>
      </w:pPr>
      <w:r w:rsidRPr="00700616">
        <w:rPr>
          <w:i/>
          <w:iCs/>
        </w:rPr>
        <w:t>" ... Third, it is accepted as being self-evident."</w:t>
      </w:r>
    </w:p>
    <w:p w14:paraId="74C3FE30" w14:textId="77777777" w:rsidR="00BB558E" w:rsidRDefault="00BB558E" w:rsidP="00BB558E">
      <w:pPr>
        <w:autoSpaceDE w:val="0"/>
        <w:autoSpaceDN w:val="0"/>
        <w:adjustRightInd w:val="0"/>
        <w:ind w:right="0"/>
      </w:pPr>
      <w:r>
        <w:t>—Arthur Schopenhauer</w:t>
      </w:r>
    </w:p>
    <w:p w14:paraId="1DFB6B34" w14:textId="77777777" w:rsidR="00BB558E" w:rsidRDefault="00BB558E" w:rsidP="00BB558E">
      <w:pPr>
        <w:autoSpaceDE w:val="0"/>
        <w:autoSpaceDN w:val="0"/>
        <w:adjustRightInd w:val="0"/>
        <w:ind w:right="0"/>
      </w:pPr>
    </w:p>
    <w:p w14:paraId="514C75CB" w14:textId="77777777" w:rsidR="00BB558E" w:rsidRDefault="00BB558E" w:rsidP="00BB558E">
      <w:pPr>
        <w:tabs>
          <w:tab w:val="left" w:pos="720"/>
        </w:tabs>
        <w:autoSpaceDE w:val="0"/>
        <w:autoSpaceDN w:val="0"/>
        <w:adjustRightInd w:val="0"/>
        <w:spacing w:after="120"/>
        <w:ind w:right="0"/>
      </w:pPr>
      <w:r>
        <w:t xml:space="preserve">A </w:t>
      </w:r>
      <w:r>
        <w:rPr>
          <w:i/>
          <w:iCs/>
        </w:rPr>
        <w:t>was it worth it question</w:t>
      </w:r>
      <w:r>
        <w:t xml:space="preserve"> was raised most prominently by a two part New York Times series, followed by an editorial that characterized the project's slow clinical progress as "sobering"(8</w:t>
      </w:r>
      <w:r w:rsidRPr="00F23416">
        <w:t>).</w:t>
      </w:r>
      <w:r>
        <w:t xml:space="preserve"> The first article by Nicholas Wade argued that the high expectations for medical breakthroughs had not yet been met, and the second, by Andrew Pollack, detailed how drug companies spent billions of dollars on genomic data but had yet to produce a substantial number of new, successful treatments. </w:t>
      </w:r>
    </w:p>
    <w:p w14:paraId="7D4FC6A8" w14:textId="77777777" w:rsidR="00BB558E" w:rsidRDefault="00BB558E" w:rsidP="00BB558E">
      <w:pPr>
        <w:tabs>
          <w:tab w:val="left" w:pos="720"/>
        </w:tabs>
        <w:autoSpaceDE w:val="0"/>
        <w:autoSpaceDN w:val="0"/>
        <w:adjustRightInd w:val="0"/>
        <w:spacing w:after="120"/>
        <w:ind w:right="0"/>
      </w:pPr>
      <w:r>
        <w:t xml:space="preserve">Lee Hood responded with publications </w:t>
      </w:r>
      <w:r w:rsidRPr="00F23416">
        <w:t>(</w:t>
      </w:r>
      <w:r>
        <w:t>9</w:t>
      </w:r>
      <w:r w:rsidRPr="00F23416">
        <w:t>)</w:t>
      </w:r>
      <w:r>
        <w:t xml:space="preserve"> rebutting the articles, and I gave talks at several international meetings trying to place what I considered to be misleading views in proper perspective. We both pointed to substantial progress while acknowledging that the path to the clinic remained long and tortuous.  I also felt that the Wade article set up a straw man by claiming that the community promised immediate breakthroughs for complex disorders such as Alzheimer’s disease and cancer— which it had not.</w:t>
      </w:r>
    </w:p>
    <w:p w14:paraId="78851A08" w14:textId="77777777" w:rsidR="00BB558E" w:rsidRDefault="00BB558E" w:rsidP="00BB558E">
      <w:pPr>
        <w:tabs>
          <w:tab w:val="left" w:pos="720"/>
        </w:tabs>
        <w:autoSpaceDE w:val="0"/>
        <w:autoSpaceDN w:val="0"/>
        <w:adjustRightInd w:val="0"/>
        <w:ind w:right="0"/>
      </w:pPr>
      <w:r>
        <w:lastRenderedPageBreak/>
        <w:t xml:space="preserve">Memory, however, can be notoriously unreliable and it's sometimes difficult to know when it's accurate. Fortunately I still have slides and notes from a keynote presentation I delivered in 2011 at an international conference on genomics and healthcare. At the time my general feeling was that the Times articles were red herrings. They were trying to be properly critical of the hype, but the analysis was neither </w:t>
      </w:r>
      <w:r>
        <w:rPr>
          <w:i/>
          <w:iCs/>
        </w:rPr>
        <w:t>sober</w:t>
      </w:r>
      <w:r>
        <w:t xml:space="preserve"> nor balanced.</w:t>
      </w:r>
    </w:p>
    <w:p w14:paraId="2544A09D" w14:textId="77777777" w:rsidR="00BB558E" w:rsidRDefault="00BB558E" w:rsidP="00BB558E">
      <w:pPr>
        <w:tabs>
          <w:tab w:val="left" w:pos="720"/>
        </w:tabs>
        <w:autoSpaceDE w:val="0"/>
        <w:autoSpaceDN w:val="0"/>
        <w:adjustRightInd w:val="0"/>
        <w:ind w:right="0"/>
      </w:pPr>
    </w:p>
    <w:p w14:paraId="54D27CAD" w14:textId="77777777" w:rsidR="00BB558E" w:rsidRDefault="00BB558E" w:rsidP="00BB558E">
      <w:pPr>
        <w:tabs>
          <w:tab w:val="left" w:pos="720"/>
        </w:tabs>
        <w:autoSpaceDE w:val="0"/>
        <w:autoSpaceDN w:val="0"/>
        <w:adjustRightInd w:val="0"/>
        <w:ind w:right="0"/>
      </w:pPr>
      <w:r>
        <w:t xml:space="preserve">First, in their discussion of the central question, the articles downplayed two of the HGPs most important promises and consequences: economic impact and signal progress on understanding the human cell— including the cancer cell. With respect to the former, The Batelle Technology Partnership Practice had published a detailed economic analysis under the title </w:t>
      </w:r>
      <w:r>
        <w:rPr>
          <w:i/>
          <w:iCs/>
        </w:rPr>
        <w:t xml:space="preserve">How a $3.8 billion investment drove a $796 billion economic impact, created 310,000 jobs and launched the genomic revolution </w:t>
      </w:r>
      <w:r w:rsidRPr="00F23416">
        <w:t>(</w:t>
      </w:r>
      <w:r>
        <w:t>10</w:t>
      </w:r>
      <w:r w:rsidRPr="00F23416">
        <w:t>).</w:t>
      </w:r>
      <w:r>
        <w:rPr>
          <w:i/>
          <w:iCs/>
        </w:rPr>
        <w:t xml:space="preserve"> </w:t>
      </w:r>
      <w:r>
        <w:rPr>
          <w:b/>
          <w:bCs/>
        </w:rPr>
        <w:t xml:space="preserve"> </w:t>
      </w:r>
      <w:r>
        <w:t>The Times made no mention of it, although the report was available at the time—perhaps because the methodology was the target of serious criticism (11,12).</w:t>
      </w:r>
    </w:p>
    <w:p w14:paraId="2A05EA4A" w14:textId="77777777" w:rsidR="00BB558E" w:rsidRDefault="00BB558E" w:rsidP="00BB558E">
      <w:pPr>
        <w:tabs>
          <w:tab w:val="left" w:pos="720"/>
        </w:tabs>
        <w:autoSpaceDE w:val="0"/>
        <w:autoSpaceDN w:val="0"/>
        <w:adjustRightInd w:val="0"/>
        <w:ind w:right="0"/>
      </w:pPr>
    </w:p>
    <w:p w14:paraId="3FF9F2DF" w14:textId="77777777" w:rsidR="00BB558E" w:rsidRPr="004A3C02" w:rsidRDefault="00BB558E" w:rsidP="00BB558E">
      <w:pPr>
        <w:tabs>
          <w:tab w:val="left" w:pos="720"/>
        </w:tabs>
        <w:autoSpaceDE w:val="0"/>
        <w:autoSpaceDN w:val="0"/>
        <w:adjustRightInd w:val="0"/>
        <w:ind w:right="0"/>
        <w:rPr>
          <w:b/>
          <w:bCs/>
          <w:u w:val="single"/>
        </w:rPr>
      </w:pPr>
      <w:r w:rsidRPr="004A3C02">
        <w:rPr>
          <w:b/>
          <w:bCs/>
          <w:u w:val="single"/>
        </w:rPr>
        <w:t>Technology</w:t>
      </w:r>
    </w:p>
    <w:p w14:paraId="72E7349E" w14:textId="77777777" w:rsidR="00BB558E" w:rsidRDefault="00BB558E" w:rsidP="00BB558E">
      <w:pPr>
        <w:tabs>
          <w:tab w:val="left" w:pos="720"/>
        </w:tabs>
        <w:autoSpaceDE w:val="0"/>
        <w:autoSpaceDN w:val="0"/>
        <w:adjustRightInd w:val="0"/>
        <w:ind w:right="0"/>
      </w:pPr>
      <w:r>
        <w:t>It's all too easy to lose sight of the fact that advances in the technological driver of the revolution in cell biology was itself undergoing a revolution. One indicator of the rapid technological transformation was the acceleration in DNA sequencing rates —which were starting to yield a production increase of 60% - 90% per year, depending upon how much context and accuracy was demanded. This increase, even at the low end, had consequences that were wide spread and substantial.</w:t>
      </w:r>
    </w:p>
    <w:p w14:paraId="2ADA88E9" w14:textId="77777777" w:rsidR="00BB558E" w:rsidRPr="00C16DD3" w:rsidRDefault="00BB558E" w:rsidP="00BB558E">
      <w:pPr>
        <w:spacing w:before="100" w:beforeAutospacing="1" w:after="100" w:afterAutospacing="1"/>
      </w:pPr>
      <w:r w:rsidRPr="00CF4791">
        <w:rPr>
          <w:rStyle w:val="Strong"/>
          <w:rFonts w:eastAsiaTheme="majorEastAsia"/>
          <w:b w:val="0"/>
          <w:bCs w:val="0"/>
          <w:i/>
          <w:iCs/>
          <w:u w:val="single"/>
        </w:rPr>
        <w:t>Infectious Disease Outbreak Tracking</w:t>
      </w:r>
      <w:r w:rsidRPr="00D623F5">
        <w:t xml:space="preserve"> </w:t>
      </w:r>
      <w:r w:rsidRPr="00C16DD3">
        <w:t>Real-time genomic surveillance is among the most consequential technological advances in modern public health, with the global tracking of SARS-CoV-2 providing its most visible recent demonstration. The essential shift was not simply faster sequencing—although that improved dramatically—but the removal of logistical bottlenecks that had previously delayed the generation and sharing of genomic data. Historically, samples had to be transported to centralized laboratories, introducing delays of days to weeks.</w:t>
      </w:r>
    </w:p>
    <w:p w14:paraId="1CC321B2" w14:textId="77777777" w:rsidR="00BB558E" w:rsidRPr="00C16DD3" w:rsidRDefault="00BB558E" w:rsidP="00BB558E">
      <w:pPr>
        <w:spacing w:before="100" w:beforeAutospacing="1" w:after="100" w:afterAutospacing="1"/>
      </w:pPr>
      <w:r w:rsidRPr="00C16DD3">
        <w:t>This changed when researchers brought the laboratory to the field in airline luggage. Ebola genomes were read in Gui</w:t>
      </w:r>
      <w:r>
        <w:t>nea</w:t>
      </w:r>
      <w:r w:rsidRPr="00C16DD3">
        <w:t xml:space="preserve"> and Sierra Leone within hours of sample collection, and actionable analyses were completed in less than a day, enabling near real-time epidemiological insight.</w:t>
      </w:r>
    </w:p>
    <w:p w14:paraId="04F07558" w14:textId="77777777" w:rsidR="00BB558E" w:rsidRDefault="00BB558E" w:rsidP="00BB558E">
      <w:pPr>
        <w:spacing w:before="100" w:beforeAutospacing="1" w:after="100" w:afterAutospacing="1"/>
      </w:pPr>
      <w:r w:rsidRPr="00C16DD3">
        <w:t xml:space="preserve">The impact extended beyond speed. By sequencing dozens of Ebola virus genomes, researchers inferred that the outbreak likely arose from a single zoonotic introduction, with the circulating West African lineage diverging from central African strains roughly a decade earlier and spreading from Guinea into Sierra Leone in May 2014. </w:t>
      </w:r>
      <w:r>
        <w:t xml:space="preserve">More fundamentally, genomic patterns </w:t>
      </w:r>
      <w:r w:rsidRPr="00C16DD3">
        <w:t>distinguish</w:t>
      </w:r>
      <w:r>
        <w:t>ed</w:t>
      </w:r>
      <w:r w:rsidRPr="00C16DD3">
        <w:t xml:space="preserve"> sustained human-to-human transmission from repeated </w:t>
      </w:r>
      <w:r>
        <w:t>independent transmissions of the virus from its natural reservoir, thereby providing the basis for an informed control strategy.</w:t>
      </w:r>
    </w:p>
    <w:p w14:paraId="17D275FB" w14:textId="77777777" w:rsidR="00BB558E" w:rsidRDefault="00BB558E" w:rsidP="00BB558E">
      <w:pPr>
        <w:pStyle w:val="font-claude-response-body"/>
      </w:pPr>
      <w:r w:rsidRPr="004A3C02">
        <w:rPr>
          <w:rStyle w:val="Strong"/>
          <w:rFonts w:eastAsiaTheme="majorEastAsia"/>
          <w:b w:val="0"/>
          <w:bCs w:val="0"/>
          <w:i/>
          <w:iCs/>
          <w:u w:val="single"/>
        </w:rPr>
        <w:t>Antimicrobial Resistance (AMR)</w:t>
      </w:r>
      <w:r>
        <w:t xml:space="preserve"> Whole-genome sequencing is now routinely used to track the spread of drug-resistant bacteria such as</w:t>
      </w:r>
      <w:r w:rsidRPr="00CF4791">
        <w:rPr>
          <w:b/>
          <w:bCs/>
        </w:rPr>
        <w:t xml:space="preserve"> </w:t>
      </w:r>
      <w:r w:rsidRPr="00CF4791">
        <w:rPr>
          <w:rStyle w:val="Strong"/>
          <w:rFonts w:eastAsiaTheme="majorEastAsia"/>
          <w:b w:val="0"/>
          <w:bCs w:val="0"/>
        </w:rPr>
        <w:t>MRSA, C. difficile, and carbapenem-resistant Enterobacteriaceae</w:t>
      </w:r>
      <w:r w:rsidRPr="00CF4791">
        <w:rPr>
          <w:b/>
          <w:bCs/>
        </w:rPr>
        <w:t xml:space="preserve"> </w:t>
      </w:r>
      <w:r>
        <w:t xml:space="preserve">through hospitals. It has revealed that many hospital outbreaks thought to be </w:t>
      </w:r>
      <w:r>
        <w:lastRenderedPageBreak/>
        <w:t>unrelated were actually linked — something classical typing methods completely missed. One of my former students, Evan Snitkin who is now a professor at the University of Michigan, made a major contribution to that revelation.</w:t>
      </w:r>
    </w:p>
    <w:p w14:paraId="0004DCD4" w14:textId="77777777" w:rsidR="00BB558E" w:rsidRDefault="00BB558E" w:rsidP="00BB558E">
      <w:pPr>
        <w:pStyle w:val="font-claude-response-body"/>
      </w:pPr>
      <w:r w:rsidRPr="00CF4791">
        <w:rPr>
          <w:rStyle w:val="Strong"/>
          <w:rFonts w:eastAsiaTheme="majorEastAsia"/>
          <w:b w:val="0"/>
          <w:bCs w:val="0"/>
          <w:i/>
          <w:iCs/>
          <w:u w:val="single"/>
        </w:rPr>
        <w:t>Food Safety</w:t>
      </w:r>
      <w:r>
        <w:t xml:space="preserve"> The CDC and similar agencies now use whole-genome sequencing to fingerprint foodborne pathogens such as Salmonella and Listeria with extraordinary precision, linking outbreaks to specific farms or processing facilities far faster than ever before.</w:t>
      </w:r>
    </w:p>
    <w:p w14:paraId="55985ECC" w14:textId="77777777" w:rsidR="00BB558E" w:rsidRDefault="00BB558E" w:rsidP="00BB558E">
      <w:pPr>
        <w:pStyle w:val="font-claude-response-body"/>
      </w:pPr>
      <w:r w:rsidRPr="00840252">
        <w:rPr>
          <w:rStyle w:val="Strong"/>
          <w:rFonts w:eastAsiaTheme="majorEastAsia"/>
          <w:b w:val="0"/>
          <w:bCs w:val="0"/>
          <w:i/>
          <w:iCs/>
          <w:u w:val="single"/>
        </w:rPr>
        <w:t>Human Microbiome Research</w:t>
      </w:r>
      <w:r>
        <w:rPr>
          <w:rStyle w:val="Strong"/>
          <w:rFonts w:eastAsiaTheme="majorEastAsia"/>
          <w:b w:val="0"/>
          <w:bCs w:val="0"/>
          <w:i/>
          <w:iCs/>
          <w:u w:val="single"/>
        </w:rPr>
        <w:t>:</w:t>
      </w:r>
      <w:r w:rsidRPr="00840252">
        <w:rPr>
          <w:b/>
          <w:bCs/>
          <w:i/>
          <w:iCs/>
          <w:u w:val="single"/>
        </w:rPr>
        <w:t xml:space="preserve"> </w:t>
      </w:r>
      <w:r w:rsidRPr="00332538">
        <w:rPr>
          <w:i/>
          <w:iCs/>
          <w:u w:val="single"/>
        </w:rPr>
        <w:t>The</w:t>
      </w:r>
      <w:r w:rsidRPr="00840252">
        <w:rPr>
          <w:b/>
          <w:bCs/>
          <w:i/>
          <w:iCs/>
          <w:u w:val="single"/>
        </w:rPr>
        <w:t xml:space="preserve"> </w:t>
      </w:r>
      <w:r w:rsidRPr="00840252">
        <w:rPr>
          <w:rStyle w:val="Strong"/>
          <w:rFonts w:eastAsiaTheme="majorEastAsia"/>
          <w:b w:val="0"/>
          <w:bCs w:val="0"/>
          <w:i/>
          <w:iCs/>
          <w:u w:val="single"/>
        </w:rPr>
        <w:t>Human Microbiome Project</w:t>
      </w:r>
      <w:r>
        <w:t xml:space="preserve"> (~2008 onward) uses rapid sequencing to characterize the trillions of microbes living in and on us, most of which can't be cultured in a lab. This opened entirely new research directions linking the microbiome to immunity, mental health, and metabolic disease.</w:t>
      </w:r>
    </w:p>
    <w:p w14:paraId="51799146" w14:textId="77777777" w:rsidR="00BB558E" w:rsidRPr="00840252" w:rsidRDefault="00BB558E" w:rsidP="00BB558E">
      <w:pPr>
        <w:pStyle w:val="font-claude-response-body"/>
      </w:pPr>
      <w:r>
        <w:t>These and other public health improvements, as well as more foundational advances, would have been impossible or dramatically slower with traditional sequencing alone — the speed and cost reductions of the 2000s-era platforms were genuinely revolutionary.</w:t>
      </w:r>
    </w:p>
    <w:p w14:paraId="3FC717FA" w14:textId="77777777" w:rsidR="00BB558E" w:rsidRDefault="00BB558E" w:rsidP="00BB558E">
      <w:pPr>
        <w:tabs>
          <w:tab w:val="left" w:pos="720"/>
        </w:tabs>
        <w:autoSpaceDE w:val="0"/>
        <w:autoSpaceDN w:val="0"/>
        <w:adjustRightInd w:val="0"/>
        <w:ind w:right="0"/>
        <w:rPr>
          <w:b/>
          <w:bCs/>
        </w:rPr>
      </w:pPr>
      <w:r>
        <w:rPr>
          <w:b/>
          <w:bCs/>
        </w:rPr>
        <w:t>New Concepts and Their Implications</w:t>
      </w:r>
    </w:p>
    <w:p w14:paraId="53EF9ABA" w14:textId="77777777" w:rsidR="00BB558E" w:rsidRDefault="00BB558E" w:rsidP="00BB558E">
      <w:pPr>
        <w:tabs>
          <w:tab w:val="left" w:pos="720"/>
        </w:tabs>
        <w:autoSpaceDE w:val="0"/>
        <w:autoSpaceDN w:val="0"/>
        <w:adjustRightInd w:val="0"/>
        <w:ind w:right="0"/>
      </w:pPr>
      <w:r>
        <w:t xml:space="preserve">The HGP ignited a conceptual revolution in our understanding of the cancer cell, with clinical consequences that were wide and deep, but a single review will be sufficient to convey its impact. The review, which was written by Hanahan &amp; Weinberg in 2011 (13), is an update of a 2000 publication, </w:t>
      </w:r>
      <w:r>
        <w:rPr>
          <w:i/>
          <w:iCs/>
        </w:rPr>
        <w:t>The Hallmarks of Cancer</w:t>
      </w:r>
      <w:r>
        <w:t xml:space="preserve">. </w:t>
      </w:r>
      <w:r w:rsidRPr="008A2112">
        <w:rPr>
          <w:i/>
          <w:iCs/>
        </w:rPr>
        <w:t>Hallmarks</w:t>
      </w:r>
      <w:r>
        <w:rPr>
          <w:i/>
          <w:iCs/>
        </w:rPr>
        <w:t xml:space="preserve"> </w:t>
      </w:r>
      <w:r>
        <w:t>is</w:t>
      </w:r>
      <w:r>
        <w:rPr>
          <w:i/>
          <w:iCs/>
        </w:rPr>
        <w:t xml:space="preserve"> </w:t>
      </w:r>
      <w:r>
        <w:t>one of the most influential papers in the recent history of cancer biology (14 ).</w:t>
      </w:r>
    </w:p>
    <w:p w14:paraId="2A0FA14C" w14:textId="77777777" w:rsidR="00BB558E" w:rsidRPr="00D90418" w:rsidRDefault="00BB558E" w:rsidP="00BB558E">
      <w:pPr>
        <w:tabs>
          <w:tab w:val="left" w:pos="720"/>
        </w:tabs>
        <w:autoSpaceDE w:val="0"/>
        <w:autoSpaceDN w:val="0"/>
        <w:adjustRightInd w:val="0"/>
        <w:ind w:right="0"/>
      </w:pPr>
    </w:p>
    <w:p w14:paraId="34AB9E47" w14:textId="77777777" w:rsidR="00BB558E" w:rsidRDefault="00BB558E" w:rsidP="00BB558E">
      <w:pPr>
        <w:tabs>
          <w:tab w:val="left" w:pos="720"/>
        </w:tabs>
        <w:autoSpaceDE w:val="0"/>
        <w:autoSpaceDN w:val="0"/>
        <w:adjustRightInd w:val="0"/>
        <w:spacing w:after="120"/>
        <w:ind w:right="0"/>
      </w:pPr>
      <w:r>
        <w:t xml:space="preserve">Although the concepts discussed in the 2000 paper were independent of HGP data and technologies, the 2011 update told a different story—one that was directly traceable to conceptual advances enabled by the human genome sequence.  Ironically, the senior author was famous for his </w:t>
      </w:r>
      <w:r>
        <w:rPr>
          <w:i/>
          <w:iCs/>
        </w:rPr>
        <w:t>'it's not discussed in polite company'</w:t>
      </w:r>
      <w:r>
        <w:t xml:space="preserve"> criticism of the Project. </w:t>
      </w:r>
    </w:p>
    <w:p w14:paraId="36E3D014" w14:textId="77777777" w:rsidR="00BB558E" w:rsidRDefault="00BB558E" w:rsidP="00BB558E">
      <w:pPr>
        <w:autoSpaceDE w:val="0"/>
        <w:autoSpaceDN w:val="0"/>
        <w:adjustRightInd w:val="0"/>
        <w:ind w:right="0"/>
      </w:pPr>
      <w:r>
        <w:t>Briefly, the review centered on the following. (</w:t>
      </w:r>
      <w:proofErr w:type="spellStart"/>
      <w:r>
        <w:t>i</w:t>
      </w:r>
      <w:proofErr w:type="spellEnd"/>
      <w:r>
        <w:t xml:space="preserve">) The emergence of important resources, such as The Cancer Genome Atlas (TCGA), that were modeled on the HGP. TCGA knowledgebase </w:t>
      </w:r>
      <w:r w:rsidRPr="00332538">
        <w:rPr>
          <w:b/>
          <w:bCs/>
          <w:color w:val="EE0000"/>
        </w:rPr>
        <w:t>(1</w:t>
      </w:r>
      <w:r>
        <w:rPr>
          <w:b/>
          <w:bCs/>
          <w:color w:val="EE0000"/>
        </w:rPr>
        <w:t>5</w:t>
      </w:r>
      <w:r w:rsidRPr="00497156">
        <w:t>)</w:t>
      </w:r>
      <w:r>
        <w:t xml:space="preserve"> provides the tools needed to penetrate the depths of the cancer cell at every biological level, thereby enabling, among other things, the identification of rare cancer driver genes </w:t>
      </w:r>
      <w:r w:rsidRPr="00497156">
        <w:t>(1</w:t>
      </w:r>
      <w:r>
        <w:t>6</w:t>
      </w:r>
      <w:r w:rsidRPr="00497156">
        <w:t>)</w:t>
      </w:r>
      <w:r>
        <w:t xml:space="preserve"> that would not otherwise have been discovered. (ii) The ability to expand our understanding of cancer etiology and the characteristics of cancerous tissue by identifying functionally related groups of genes to which cancer drivers belong, thereby providing a more informative link between genotype and phenotype. (iii) The ability to compare whole genomes, including disease and normal genomes from the same individual—an ability that led immediately to a landmark discovery in oncology. </w:t>
      </w:r>
    </w:p>
    <w:p w14:paraId="5CB25147" w14:textId="77777777" w:rsidR="00BB558E" w:rsidRDefault="00BB558E" w:rsidP="00BB558E">
      <w:pPr>
        <w:autoSpaceDE w:val="0"/>
        <w:autoSpaceDN w:val="0"/>
        <w:adjustRightInd w:val="0"/>
        <w:ind w:right="0"/>
      </w:pPr>
    </w:p>
    <w:p w14:paraId="3FE4EB9B" w14:textId="77777777" w:rsidR="00BB558E" w:rsidRDefault="00BB558E" w:rsidP="00BB558E">
      <w:pPr>
        <w:autoSpaceDE w:val="0"/>
        <w:autoSpaceDN w:val="0"/>
        <w:adjustRightInd w:val="0"/>
        <w:ind w:right="0"/>
      </w:pPr>
      <w:r>
        <w:t xml:space="preserve">The last of these requires elaboration. In 2008, when the first full cancer genome was sequenced and compared to healthy cells from the same individual— and then later in 2011 when </w:t>
      </w:r>
      <w:proofErr w:type="spellStart"/>
      <w:r>
        <w:t>chromothripsis</w:t>
      </w:r>
      <w:proofErr w:type="spellEnd"/>
      <w:r>
        <w:t xml:space="preserve"> (tens to thousands  of localized chromosomal rearrangements) was discovered—researchers realized that the cancer genome was far more chaotic than they had imagined. For decades, scientists had believed cancer was a slow, orderly process where a cell gradually accumulates small mutations one by one. But full genome comparisons revealed cells with chromosomes that had literally shattered and stitched themselves back together incorrectly, in a </w:t>
      </w:r>
      <w:r>
        <w:lastRenderedPageBreak/>
        <w:t xml:space="preserve">process that rapidly created hundreds of mutations. This explained why some aggressive cancers seem to appear out of nowhere. The comparison also revealed that a cancer cell harbors a large number of point mutations, only a small fraction of which drive tumor development. This finding enabled rapid screening and identification of cancer-causing mutations. </w:t>
      </w:r>
    </w:p>
    <w:p w14:paraId="4C2F78D7" w14:textId="77777777" w:rsidR="00BB558E" w:rsidRDefault="00BB558E" w:rsidP="00BB558E">
      <w:pPr>
        <w:tabs>
          <w:tab w:val="left" w:pos="720"/>
        </w:tabs>
        <w:autoSpaceDE w:val="0"/>
        <w:autoSpaceDN w:val="0"/>
        <w:adjustRightInd w:val="0"/>
        <w:spacing w:after="120"/>
        <w:ind w:right="0"/>
        <w:rPr>
          <w:b/>
          <w:bCs/>
        </w:rPr>
      </w:pPr>
    </w:p>
    <w:p w14:paraId="543BC0A6" w14:textId="77777777" w:rsidR="00BB558E" w:rsidRDefault="00BB558E" w:rsidP="00BB558E">
      <w:pPr>
        <w:tabs>
          <w:tab w:val="left" w:pos="720"/>
        </w:tabs>
        <w:autoSpaceDE w:val="0"/>
        <w:autoSpaceDN w:val="0"/>
        <w:adjustRightInd w:val="0"/>
        <w:ind w:right="0"/>
        <w:rPr>
          <w:b/>
          <w:bCs/>
        </w:rPr>
      </w:pPr>
      <w:r>
        <w:rPr>
          <w:b/>
          <w:bCs/>
        </w:rPr>
        <w:t>Acceleration of Drug Development</w:t>
      </w:r>
    </w:p>
    <w:p w14:paraId="135A7367" w14:textId="77777777" w:rsidR="00BB558E" w:rsidRDefault="00BB558E" w:rsidP="00BB558E">
      <w:pPr>
        <w:tabs>
          <w:tab w:val="left" w:pos="720"/>
        </w:tabs>
        <w:autoSpaceDE w:val="0"/>
        <w:autoSpaceDN w:val="0"/>
        <w:adjustRightInd w:val="0"/>
        <w:ind w:right="0"/>
        <w:rPr>
          <w:i/>
          <w:iCs/>
        </w:rPr>
      </w:pPr>
      <w:r>
        <w:t xml:space="preserve">These advances in fundamental biology barely scratched the surface of a previously inaccessible domain of potential new paths to drug development and diagnostics. But the advances engendered by the HGP were not just fundamental. Another 2011 publication, this one by Chin, Andersen and </w:t>
      </w:r>
      <w:proofErr w:type="spellStart"/>
      <w:r>
        <w:t>Futreal</w:t>
      </w:r>
      <w:proofErr w:type="spellEnd"/>
      <w:r>
        <w:t xml:space="preserve"> </w:t>
      </w:r>
      <w:r w:rsidRPr="00F23416">
        <w:t>(1</w:t>
      </w:r>
      <w:r>
        <w:t>7</w:t>
      </w:r>
      <w:r w:rsidRPr="00F23416">
        <w:t>)</w:t>
      </w:r>
      <w:r>
        <w:t xml:space="preserve"> pointed clearly and unambiguously to lifesaving advances by showing how access to the human genome shortened the path from biological discovery to approved therapy, and by providing concrete examples of shortened timelines (from discovery of molecular targets to FDA approval of a drug). The new tumor fighting drugs included </w:t>
      </w:r>
      <w:r>
        <w:rPr>
          <w:i/>
          <w:iCs/>
        </w:rPr>
        <w:t>Gleevec</w:t>
      </w:r>
      <w:r w:rsidRPr="009332AF">
        <w:rPr>
          <w:i/>
          <w:iCs/>
        </w:rPr>
        <w:t xml:space="preserve"> </w:t>
      </w:r>
      <w:r>
        <w:rPr>
          <w:i/>
          <w:iCs/>
        </w:rPr>
        <w:t xml:space="preserve">and Crizotinib. </w:t>
      </w:r>
    </w:p>
    <w:p w14:paraId="1009FAC1" w14:textId="77777777" w:rsidR="00BB558E" w:rsidRPr="004A3C02" w:rsidRDefault="00BB558E" w:rsidP="00BB558E">
      <w:pPr>
        <w:tabs>
          <w:tab w:val="left" w:pos="720"/>
        </w:tabs>
        <w:autoSpaceDE w:val="0"/>
        <w:autoSpaceDN w:val="0"/>
        <w:adjustRightInd w:val="0"/>
        <w:ind w:right="0"/>
      </w:pPr>
    </w:p>
    <w:p w14:paraId="69E58AC3" w14:textId="77777777" w:rsidR="00BB558E" w:rsidRPr="00625A71" w:rsidRDefault="00BB558E" w:rsidP="00BB558E">
      <w:pPr>
        <w:tabs>
          <w:tab w:val="left" w:pos="720"/>
        </w:tabs>
        <w:autoSpaceDE w:val="0"/>
        <w:autoSpaceDN w:val="0"/>
        <w:adjustRightInd w:val="0"/>
        <w:spacing w:after="120"/>
        <w:ind w:right="0"/>
      </w:pPr>
      <w:r w:rsidRPr="00625A71">
        <w:rPr>
          <w:color w:val="000000"/>
        </w:rPr>
        <w:t>Gleevec, which proved to be effective against chronic myelogenous leukemia (CML), acute lymphocytic leukemia, skin cancers and gastrointestinal stromal tumors (GIST). had a timeline of 8 years, roughly half that for pre-genomic anticancer drugs</w:t>
      </w:r>
      <w:r>
        <w:rPr>
          <w:color w:val="000000"/>
        </w:rPr>
        <w:t xml:space="preserve"> (18, 19)</w:t>
      </w:r>
      <w:r w:rsidRPr="00625A71">
        <w:rPr>
          <w:color w:val="000000"/>
        </w:rPr>
        <w:t>. Crizotinib, which is used to treat advanced non-small cell lung cancer (NSCLC) in patients whose tumors harbor certain types of genomic rearrangements, was approved by the FDA within four years (</w:t>
      </w:r>
      <w:r>
        <w:rPr>
          <w:color w:val="000000"/>
        </w:rPr>
        <w:t>20)</w:t>
      </w:r>
    </w:p>
    <w:p w14:paraId="26095413" w14:textId="77777777" w:rsidR="00BB558E" w:rsidRPr="00625A71" w:rsidRDefault="00BB558E" w:rsidP="00BB558E">
      <w:pPr>
        <w:tabs>
          <w:tab w:val="left" w:pos="720"/>
        </w:tabs>
        <w:autoSpaceDE w:val="0"/>
        <w:autoSpaceDN w:val="0"/>
        <w:adjustRightInd w:val="0"/>
        <w:spacing w:after="120"/>
        <w:ind w:right="0"/>
      </w:pPr>
      <w:r w:rsidRPr="00625A71">
        <w:t>Unsurprisingly, not all new drugs were a success. The anti-melanoma drug Vemurafenib for example was a disappointment. Although it produced dramatic early responses by increasing median melanoma survival by several months, it lacked long range effectiveness due to the rapid emergence of resistance (</w:t>
      </w:r>
      <w:r>
        <w:t>21</w:t>
      </w:r>
      <w:r w:rsidRPr="00625A71">
        <w:t>). It turned out, however, that the 2000s did see a dramatic increase in the lifespan of melanoma patients, but it was immunotherapy and not genomics that paved the way. The back story makes interesting science, and also illustrates one of many important indirect impacts of the HGP.</w:t>
      </w:r>
    </w:p>
    <w:p w14:paraId="4EEB32B2" w14:textId="77777777" w:rsidR="00BB558E" w:rsidRPr="00902D91" w:rsidRDefault="00BB558E" w:rsidP="00BB558E">
      <w:pPr>
        <w:spacing w:before="100" w:beforeAutospacing="1" w:after="100" w:afterAutospacing="1"/>
        <w:ind w:right="0"/>
        <w:rPr>
          <w:color w:val="000000"/>
        </w:rPr>
      </w:pPr>
      <w:r w:rsidRPr="00902D91">
        <w:rPr>
          <w:color w:val="000000"/>
        </w:rPr>
        <w:t>The biological key to this immunological success story lies in the interaction between T-cell checkpoint receptors—which activate inhibitory biochemical programs—and foreign antigens expressed by viruses and tumors (22). The immune response to acute infection differs fundamentally from that to chronic antigen exposure. In an acute infection, T cells expand as they recognize antigen and then contract once it is cleared. Inhibitory checkpoint pathways are induced during this process, but they function primarily as physiological brakes that limit collateral damage rather than terminate the response.</w:t>
      </w:r>
    </w:p>
    <w:p w14:paraId="3004AFAE" w14:textId="77777777" w:rsidR="00BB558E" w:rsidRPr="00902D91" w:rsidRDefault="00BB558E" w:rsidP="00BB558E">
      <w:pPr>
        <w:spacing w:before="100" w:beforeAutospacing="1" w:after="100" w:afterAutospacing="1"/>
        <w:ind w:right="0"/>
        <w:rPr>
          <w:color w:val="000000"/>
        </w:rPr>
      </w:pPr>
      <w:r w:rsidRPr="00902D91">
        <w:rPr>
          <w:color w:val="000000"/>
        </w:rPr>
        <w:t>Under conditions of persistent or high antigen burden—as in chronic infection or cancer—continuous stimulation sustains high levels of inhibitory checkpoint receptors and gradually shifts the balance from effective immune attack toward suppression, metabolic restraint, and functional exhaustion (23). T cells become progressively less cytotoxic, allowing tumor growth rates eventually to exceed tumor cell death (24). Checkpoint inhibitors restore immune function by interrupting these inhibitory pathways during chronic antigen exposure. Their most powerful application is in tumors with a high burden of neoantigens—abnormal protein fragments generated by tumor-specific mutations and recognized as foreign by the immune system.</w:t>
      </w:r>
    </w:p>
    <w:p w14:paraId="3ED477F5" w14:textId="77777777" w:rsidR="00BB558E" w:rsidRPr="00902D91" w:rsidRDefault="00BB558E" w:rsidP="00BB558E">
      <w:pPr>
        <w:spacing w:before="100" w:beforeAutospacing="1" w:after="100" w:afterAutospacing="1"/>
        <w:ind w:right="0"/>
        <w:rPr>
          <w:color w:val="000000"/>
        </w:rPr>
      </w:pPr>
      <w:r w:rsidRPr="00902D91">
        <w:rPr>
          <w:color w:val="000000"/>
        </w:rPr>
        <w:lastRenderedPageBreak/>
        <w:t>The identification of neoantigens was an important, if indirect, consequence of the genomic revolution. Whole-exome and whole-genome sequencing enabled direct comparison of a patient’s tumor DNA with normal DNA, revealing somatic mutations unique to the cancer. Many of these mutations alter protein sequences in ways that generate novel antigens capable of eliciting T-cell responses. Because checkpoint inhibitors are most effective when an immune response is present but restrained, genomic analysis allows rational patient stratification: tumors with high mutational burden or defective DNA repair are more likely to produce abundant neoantigens and to respond to checkpoint blockade.</w:t>
      </w:r>
    </w:p>
    <w:p w14:paraId="780AD25C" w14:textId="77777777" w:rsidR="00BB558E" w:rsidRPr="00902D91" w:rsidRDefault="00BB558E" w:rsidP="00BB558E">
      <w:pPr>
        <w:spacing w:before="100" w:beforeAutospacing="1" w:after="100" w:afterAutospacing="1"/>
        <w:ind w:right="0"/>
        <w:rPr>
          <w:color w:val="000000"/>
        </w:rPr>
      </w:pPr>
      <w:r w:rsidRPr="00902D91">
        <w:rPr>
          <w:color w:val="000000"/>
        </w:rPr>
        <w:t xml:space="preserve">Checkpoint therapy blocks inhibitory signals that tumors exploit to dampen immunity, releasing T cells from suppression and enabling them to eliminate malignant cells. The same mutational catalogs also support the design of personalized cancer vaccines tailored to an individual tumor’s neoantigen profile. Although the Human Genome Project focused primarily on </w:t>
      </w:r>
      <w:r w:rsidRPr="00F466BC">
        <w:rPr>
          <w:color w:val="000000"/>
        </w:rPr>
        <w:t>germline</w:t>
      </w:r>
      <w:r w:rsidRPr="00902D91">
        <w:rPr>
          <w:color w:val="000000"/>
        </w:rPr>
        <w:t xml:space="preserve"> sequence</w:t>
      </w:r>
      <w:r>
        <w:rPr>
          <w:color w:val="000000"/>
        </w:rPr>
        <w:t xml:space="preserve"> (25)</w:t>
      </w:r>
      <w:r w:rsidRPr="00902D91">
        <w:rPr>
          <w:color w:val="000000"/>
        </w:rPr>
        <w:t>, the technologies, reference frameworks, and computational tools it generated made systematic analysis of somatic mutations routine—rendering immunotherapy not merely biologically plausible but clinically actionable.</w:t>
      </w:r>
    </w:p>
    <w:p w14:paraId="523503E3" w14:textId="77777777" w:rsidR="00BB558E" w:rsidRPr="00902D91" w:rsidRDefault="00BB558E" w:rsidP="00BB558E">
      <w:pPr>
        <w:spacing w:before="100" w:beforeAutospacing="1" w:after="100" w:afterAutospacing="1"/>
        <w:ind w:right="0"/>
        <w:rPr>
          <w:color w:val="000000"/>
        </w:rPr>
      </w:pPr>
      <w:r w:rsidRPr="00902D91">
        <w:rPr>
          <w:color w:val="000000"/>
        </w:rPr>
        <w:t xml:space="preserve">Checkpoint inhibition has become one of the major success stories in oncology, producing durable regressions in melanoma, lung cancer, renal cancer, Hodgkin lymphoma, and other malignancies. Its development relied on multiple technologies, particularly monoclonal antibodies, but its maturation in the genomic era amplified its reach. The genome sequence was not the conceptual trigger for checkpoint therapy; it was, however, essential to its rapid validation, optimization, patient selection, and clinical impact. Immunotherapy would </w:t>
      </w:r>
      <w:r>
        <w:rPr>
          <w:color w:val="000000"/>
        </w:rPr>
        <w:t xml:space="preserve">very </w:t>
      </w:r>
      <w:r w:rsidRPr="00902D91">
        <w:rPr>
          <w:color w:val="000000"/>
        </w:rPr>
        <w:t>likely have emerged even without the genomic revolution—but more slowly, less precisely, and with far less transformative effect.</w:t>
      </w:r>
    </w:p>
    <w:p w14:paraId="56E30E07" w14:textId="77777777" w:rsidR="00BB558E" w:rsidRPr="00625A71" w:rsidRDefault="00BB558E" w:rsidP="00BB558E">
      <w:pPr>
        <w:autoSpaceDE w:val="0"/>
        <w:autoSpaceDN w:val="0"/>
        <w:adjustRightInd w:val="0"/>
        <w:spacing w:after="120"/>
        <w:ind w:right="0"/>
      </w:pPr>
      <w:r w:rsidRPr="00625A71">
        <w:t>Many other advances were made during the decade following the 2000 announcement of the draft</w:t>
      </w:r>
      <w:r>
        <w:t xml:space="preserve"> sequence.</w:t>
      </w:r>
      <w:r w:rsidRPr="00625A71">
        <w:t xml:space="preserve"> These include advances in pharmacogenomics (</w:t>
      </w:r>
      <w:r w:rsidRPr="00625A71">
        <w:rPr>
          <w:bCs/>
          <w:color w:val="000000"/>
        </w:rPr>
        <w:t>predicting drug hypersensitivity and effectiveness based on an individual's genetics)</w:t>
      </w:r>
      <w:r w:rsidRPr="00625A71">
        <w:t xml:space="preserve"> which resulted in hundreds of actionable prognostics (2</w:t>
      </w:r>
      <w:r>
        <w:t>6</w:t>
      </w:r>
      <w:r w:rsidRPr="00625A71">
        <w:t>). While the NYT series in 2010 lamented the lack of "successful treatments," they missed that the real breakthrough was often in re-engineering how we use existing treatments.</w:t>
      </w:r>
      <w:r w:rsidRPr="00625A71">
        <w:rPr>
          <w:b/>
          <w:bCs/>
        </w:rPr>
        <w:t xml:space="preserve"> </w:t>
      </w:r>
      <w:r w:rsidRPr="00625A71">
        <w:t>Finally</w:t>
      </w:r>
      <w:r w:rsidRPr="00625A71">
        <w:rPr>
          <w:b/>
          <w:bCs/>
        </w:rPr>
        <w:t>,</w:t>
      </w:r>
      <w:r w:rsidRPr="00625A71">
        <w:t xml:space="preserve"> although the Times might have been well intentioned, I can't help being concerned about unnecessarily large negative bias in the media's selection of news stories.</w:t>
      </w:r>
    </w:p>
    <w:p w14:paraId="5F9E1854" w14:textId="77777777" w:rsidR="00BB558E" w:rsidRPr="00625A71" w:rsidRDefault="00BB558E" w:rsidP="00BB558E">
      <w:pPr>
        <w:autoSpaceDE w:val="0"/>
        <w:autoSpaceDN w:val="0"/>
        <w:adjustRightInd w:val="0"/>
        <w:spacing w:after="120"/>
        <w:ind w:right="0"/>
      </w:pPr>
      <w:r w:rsidRPr="00625A71">
        <w:t>A certain level of negativity is understandable—it is, social scientists tell us, a reflection of the brain’s prioritization system, which seeks out 'alarm signals' to ensure safety. In other words, humans are hard-wired to prioritize negative information as an evolutionary survival mechanism. Beyond that, media outlets focus on bad news because it's what audiences consume (2</w:t>
      </w:r>
      <w:r>
        <w:t>7</w:t>
      </w:r>
      <w:r w:rsidRPr="00625A71">
        <w:t>, 2</w:t>
      </w:r>
      <w:r>
        <w:t>8</w:t>
      </w:r>
      <w:r w:rsidRPr="00625A71">
        <w:t>).</w:t>
      </w:r>
    </w:p>
    <w:p w14:paraId="4F183D09" w14:textId="77777777" w:rsidR="00BB558E" w:rsidRDefault="00BB558E" w:rsidP="00BB558E">
      <w:pPr>
        <w:autoSpaceDE w:val="0"/>
        <w:autoSpaceDN w:val="0"/>
        <w:adjustRightInd w:val="0"/>
        <w:spacing w:after="120"/>
        <w:ind w:right="0"/>
      </w:pPr>
      <w:r w:rsidRPr="00625A71">
        <w:t xml:space="preserve">Negative stories about science, however, don't always fit these explanations. There's no scarcity of genuine issues that accompany the Human Genome Project including, as discussed in Chapter 10, deep ethical quandaries.  </w:t>
      </w:r>
      <w:r>
        <w:t xml:space="preserve">In the end, stories that are unnecessarily negative with only half truths undermine confidence in news organizations that claim to be writing the first draft of history—and that perhaps is as damaging to our way of life as any technology. </w:t>
      </w:r>
    </w:p>
    <w:p w14:paraId="6FEA5909" w14:textId="77777777" w:rsidR="00BB558E" w:rsidRDefault="00BB558E" w:rsidP="00BB558E">
      <w:pPr>
        <w:autoSpaceDE w:val="0"/>
        <w:autoSpaceDN w:val="0"/>
        <w:adjustRightInd w:val="0"/>
        <w:ind w:right="0"/>
      </w:pPr>
    </w:p>
    <w:p w14:paraId="0C669526" w14:textId="77777777" w:rsidR="00BB558E" w:rsidRPr="00B44BC0" w:rsidRDefault="00BB558E" w:rsidP="00BB558E">
      <w:pPr>
        <w:autoSpaceDE w:val="0"/>
        <w:autoSpaceDN w:val="0"/>
        <w:adjustRightInd w:val="0"/>
        <w:spacing w:after="120"/>
        <w:ind w:right="0"/>
        <w:rPr>
          <w:b/>
          <w:bCs/>
          <w:sz w:val="28"/>
          <w:szCs w:val="28"/>
        </w:rPr>
      </w:pPr>
      <w:r w:rsidRPr="002F1ACA">
        <w:rPr>
          <w:b/>
          <w:bCs/>
          <w:sz w:val="28"/>
          <w:szCs w:val="28"/>
        </w:rPr>
        <w:t xml:space="preserve">2025: </w:t>
      </w:r>
      <w:r>
        <w:rPr>
          <w:b/>
          <w:bCs/>
          <w:sz w:val="28"/>
          <w:szCs w:val="28"/>
        </w:rPr>
        <w:t xml:space="preserve">Surprises </w:t>
      </w:r>
    </w:p>
    <w:p w14:paraId="5674956A" w14:textId="77777777" w:rsidR="00BB558E" w:rsidRDefault="00BB558E" w:rsidP="00BB558E">
      <w:pPr>
        <w:autoSpaceDE w:val="0"/>
        <w:autoSpaceDN w:val="0"/>
        <w:adjustRightInd w:val="0"/>
        <w:ind w:right="0"/>
      </w:pPr>
      <w:r w:rsidRPr="008817BF">
        <w:lastRenderedPageBreak/>
        <w:t>A number of important advances have been made since 20</w:t>
      </w:r>
      <w:r>
        <w:t>10</w:t>
      </w:r>
      <w:r w:rsidRPr="008817BF">
        <w:t xml:space="preserve">, some fundamental; </w:t>
      </w:r>
      <w:r>
        <w:t>others</w:t>
      </w:r>
      <w:r w:rsidRPr="008817BF">
        <w:t xml:space="preserve"> clinically relevant; some </w:t>
      </w:r>
      <w:r>
        <w:t>expected;</w:t>
      </w:r>
      <w:r w:rsidRPr="008817BF">
        <w:t xml:space="preserve"> other</w:t>
      </w:r>
      <w:r>
        <w:t>s</w:t>
      </w:r>
      <w:r w:rsidRPr="008817BF">
        <w:t xml:space="preserve"> more or less</w:t>
      </w:r>
      <w:r>
        <w:t xml:space="preserve"> </w:t>
      </w:r>
      <w:r w:rsidRPr="008817BF">
        <w:t xml:space="preserve">unanticipated. </w:t>
      </w:r>
      <w:r>
        <w:t xml:space="preserve">The last of these can be placed in a context broader than that of any single advance. Although the goal of the HGP was to produce a reference sequence, the </w:t>
      </w:r>
      <w:r w:rsidRPr="008817BF">
        <w:t xml:space="preserve">unifying theme across </w:t>
      </w:r>
      <w:r>
        <w:t xml:space="preserve">many of the advances </w:t>
      </w:r>
      <w:r w:rsidRPr="008817BF">
        <w:t>is that the value did not come from knowing only the reference genome but from comparing many genomes at scale, across individuals, tissues, diseases, and populations.</w:t>
      </w:r>
      <w:r>
        <w:t xml:space="preserve"> That value was an emergent and largely unanticipated characteristic of the genomic era. I'll give just a few examples to illustrate the expected and unexpected; the fundamental and the applied.</w:t>
      </w:r>
    </w:p>
    <w:p w14:paraId="5194EFB4" w14:textId="77777777" w:rsidR="00BB558E" w:rsidRDefault="00BB558E" w:rsidP="00BB558E">
      <w:pPr>
        <w:autoSpaceDE w:val="0"/>
        <w:autoSpaceDN w:val="0"/>
        <w:adjustRightInd w:val="0"/>
        <w:ind w:right="0"/>
      </w:pPr>
    </w:p>
    <w:p w14:paraId="59BCB151" w14:textId="77777777" w:rsidR="00BB558E" w:rsidRDefault="00BB558E" w:rsidP="00BB558E">
      <w:pPr>
        <w:autoSpaceDE w:val="0"/>
        <w:autoSpaceDN w:val="0"/>
        <w:adjustRightInd w:val="0"/>
        <w:ind w:right="0"/>
      </w:pPr>
      <w:r w:rsidRPr="0081239D">
        <w:t>First, and expected</w:t>
      </w:r>
      <w:r>
        <w:t>,</w:t>
      </w:r>
      <w:r w:rsidRPr="0081239D">
        <w:t xml:space="preserve"> is rare-disease diagnosis through clinical exome and genome sequencing</w:t>
      </w:r>
      <w:r>
        <w:t>.</w:t>
      </w:r>
      <w:r w:rsidRPr="0081239D">
        <w:t xml:space="preserve"> </w:t>
      </w:r>
      <w:r>
        <w:t xml:space="preserve">During the last decade or so whole-exome sequencing has transformed the diagnosis of </w:t>
      </w:r>
      <w:r w:rsidRPr="00D004C1">
        <w:t>previously unsolved Mendelian disorders,</w:t>
      </w:r>
      <w:r>
        <w:t xml:space="preserve"> especially in pediatrics. The ability to sequence affected individuals and parents and compare variants against population databases resolved tens of thousands of previously undiagnosable conditions. The advance is directly dependent on reference genomes and large-scale variant catalogs: it was expected and implicitly promised. </w:t>
      </w:r>
    </w:p>
    <w:p w14:paraId="36EB63F7" w14:textId="77777777" w:rsidR="00BB558E" w:rsidRPr="00D22F43" w:rsidRDefault="00BB558E" w:rsidP="00BB558E">
      <w:pPr>
        <w:autoSpaceDE w:val="0"/>
        <w:autoSpaceDN w:val="0"/>
        <w:adjustRightInd w:val="0"/>
        <w:ind w:right="0"/>
      </w:pPr>
    </w:p>
    <w:p w14:paraId="7F66D803" w14:textId="77777777" w:rsidR="00BB558E" w:rsidRDefault="00BB558E" w:rsidP="00BB558E">
      <w:pPr>
        <w:autoSpaceDE w:val="0"/>
        <w:autoSpaceDN w:val="0"/>
        <w:adjustRightInd w:val="0"/>
        <w:ind w:right="0"/>
        <w:rPr>
          <w:color w:val="0A0A0A"/>
        </w:rPr>
      </w:pPr>
      <w:r>
        <w:t xml:space="preserve">Second, and hoped for, if not promised, was the forward leap taken by precision oncology. </w:t>
      </w:r>
      <w:r w:rsidRPr="00602D66">
        <w:rPr>
          <w:color w:val="0A0A0A"/>
        </w:rPr>
        <w:t xml:space="preserve">In 2010, cancer genetics was mostly a research tool. By 2025 it </w:t>
      </w:r>
      <w:r>
        <w:rPr>
          <w:color w:val="0A0A0A"/>
        </w:rPr>
        <w:t>had become a</w:t>
      </w:r>
      <w:r w:rsidRPr="00602D66">
        <w:rPr>
          <w:color w:val="0A0A0A"/>
        </w:rPr>
        <w:t xml:space="preserve"> standard of care with </w:t>
      </w:r>
      <w:r>
        <w:rPr>
          <w:color w:val="0A0A0A"/>
        </w:rPr>
        <w:t>t</w:t>
      </w:r>
      <w:r w:rsidRPr="00602D66">
        <w:rPr>
          <w:color w:val="0A0A0A"/>
        </w:rPr>
        <w:t xml:space="preserve">argeted </w:t>
      </w:r>
      <w:r>
        <w:rPr>
          <w:color w:val="0A0A0A"/>
        </w:rPr>
        <w:t>t</w:t>
      </w:r>
      <w:r w:rsidRPr="00602D66">
        <w:rPr>
          <w:color w:val="0A0A0A"/>
        </w:rPr>
        <w:t>herapy. Most tumors now undergo molecular fingerprinting to match patients with drugs that target their specific genetic biomarkers. New blood tests</w:t>
      </w:r>
      <w:r>
        <w:rPr>
          <w:color w:val="0A0A0A"/>
        </w:rPr>
        <w:t>, so-called liquid biopsies,</w:t>
      </w:r>
      <w:r w:rsidRPr="00602D66">
        <w:rPr>
          <w:color w:val="0A0A0A"/>
        </w:rPr>
        <w:t xml:space="preserve"> can now detect circulating tumor DNA, allowing early cancer detection without invasive tissue biopsies. Over half of the precision medicine market is now focused on oncology</w:t>
      </w:r>
      <w:r>
        <w:rPr>
          <w:color w:val="0A0A0A"/>
        </w:rPr>
        <w:t>.</w:t>
      </w:r>
    </w:p>
    <w:p w14:paraId="2779F0C4" w14:textId="77777777" w:rsidR="00BB558E" w:rsidRPr="0016102F" w:rsidRDefault="00BB558E" w:rsidP="00BB558E">
      <w:pPr>
        <w:autoSpaceDE w:val="0"/>
        <w:autoSpaceDN w:val="0"/>
        <w:adjustRightInd w:val="0"/>
        <w:ind w:right="0"/>
      </w:pPr>
    </w:p>
    <w:p w14:paraId="0C16447B" w14:textId="77777777" w:rsidR="00BB558E" w:rsidRDefault="00BB558E" w:rsidP="00BB558E">
      <w:pPr>
        <w:shd w:val="clear" w:color="auto" w:fill="FFFFFF"/>
        <w:ind w:right="0"/>
      </w:pPr>
      <w:r w:rsidRPr="0081239D">
        <w:t>Then there are the evolutionary sciences.</w:t>
      </w:r>
      <w:r>
        <w:t xml:space="preserve"> </w:t>
      </w:r>
      <w:r w:rsidRPr="00A063BB">
        <w:t xml:space="preserve">A number of scientists, myself included, had a somewhat vague expectation that the HGP would reveal multiple evolutionary insights, if for no reason other than its enablement of interspecies whole genome comparisons. </w:t>
      </w:r>
      <w:r>
        <w:t xml:space="preserve">But the magnitude of its impact on both a fundamental understanding of human evolution and clinical applications has—at least to me—been one of the two most surprising </w:t>
      </w:r>
      <w:r w:rsidRPr="00F23416">
        <w:t>results</w:t>
      </w:r>
      <w:r>
        <w:t xml:space="preserve"> of the genomic era (30).</w:t>
      </w:r>
      <w:r w:rsidRPr="00F23416">
        <w:t xml:space="preserve"> </w:t>
      </w:r>
    </w:p>
    <w:p w14:paraId="4D4DDBC7" w14:textId="77777777" w:rsidR="00BB558E" w:rsidRDefault="00BB558E" w:rsidP="00BB558E">
      <w:pPr>
        <w:shd w:val="clear" w:color="auto" w:fill="FFFFFF"/>
        <w:ind w:right="0"/>
      </w:pPr>
    </w:p>
    <w:p w14:paraId="3EF54ADE" w14:textId="77777777" w:rsidR="00BB558E" w:rsidRDefault="00BB558E" w:rsidP="00BB558E">
      <w:pPr>
        <w:pStyle w:val="NormalWeb"/>
        <w:spacing w:before="0" w:beforeAutospacing="0" w:after="0" w:afterAutospacing="0"/>
        <w:ind w:right="0"/>
      </w:pPr>
      <w:r>
        <w:t xml:space="preserve">An example of clinical relevance are genomic studies showing that certain mutations are ancestral-group specific. For example East Asians with lung cancer have a high prevalence of mutations in epidermal growth factor receptors (EGFR). This allows oncologists to prioritize specific FDA-approved targeted therapies for patients based on their genetic ancestry, enabling more effective treatment and higher response rates. </w:t>
      </w:r>
    </w:p>
    <w:p w14:paraId="6345FDDD" w14:textId="77777777" w:rsidR="00BB558E" w:rsidRDefault="00BB558E" w:rsidP="00BB558E">
      <w:pPr>
        <w:pStyle w:val="NormalWeb"/>
        <w:spacing w:before="0" w:beforeAutospacing="0" w:after="0" w:afterAutospacing="0"/>
        <w:ind w:right="0"/>
      </w:pPr>
    </w:p>
    <w:p w14:paraId="0F28F19D" w14:textId="77777777" w:rsidR="00BB558E" w:rsidRDefault="00BB558E" w:rsidP="00BB558E">
      <w:pPr>
        <w:pStyle w:val="NormalWeb"/>
        <w:spacing w:before="0" w:beforeAutospacing="0" w:after="0" w:afterAutospacing="0"/>
        <w:ind w:right="0"/>
      </w:pPr>
      <w:r>
        <w:t xml:space="preserve">At the other end of the spectrum are the fundamental discoveries. For example, prior to the Human Genome Project and subsequent ancient DNA studies, many anthropologists believed that </w:t>
      </w:r>
      <w:r>
        <w:rPr>
          <w:i/>
          <w:iCs/>
        </w:rPr>
        <w:t>Homo sapiens</w:t>
      </w:r>
      <w:r>
        <w:t xml:space="preserve"> replaced other hominins without much interaction. We now know that early humans interbred repeatedly with Neanderthals (</w:t>
      </w:r>
      <m:oMath>
        <m:r>
          <w:rPr>
            <w:rFonts w:ascii="Cambria Math" w:hAnsi="Cambria Math"/>
          </w:rPr>
          <m:t xml:space="preserve">~2% </m:t>
        </m:r>
      </m:oMath>
      <w:r>
        <w:t xml:space="preserve">of human DNA), </w:t>
      </w:r>
      <w:r w:rsidRPr="00D75525">
        <w:t>Denisovans</w:t>
      </w:r>
      <w:r>
        <w:t xml:space="preserve"> (as much as </w:t>
      </w:r>
      <m:oMath>
        <m:r>
          <w:rPr>
            <w:rFonts w:ascii="Cambria Math" w:hAnsi="Cambria Math"/>
          </w:rPr>
          <m:t>~6%</m:t>
        </m:r>
      </m:oMath>
      <w:r>
        <w:t xml:space="preserve"> of  </w:t>
      </w:r>
      <w:r w:rsidRPr="00D75525">
        <w:t>East Asian</w:t>
      </w:r>
      <w:r>
        <w:t xml:space="preserve"> and</w:t>
      </w:r>
      <w:r w:rsidRPr="00D75525">
        <w:t xml:space="preserve"> Oceanian</w:t>
      </w:r>
      <w:r>
        <w:t xml:space="preserve"> DNA). In addition, genomic data has revealed "ghost" populations—ancient groups that left no physical fossils but with DNA levels at 2-19% in West African populations</w:t>
      </w:r>
      <w:r w:rsidRPr="00F23416">
        <w:t>.</w:t>
      </w:r>
    </w:p>
    <w:p w14:paraId="30C9BDD9" w14:textId="77777777" w:rsidR="00BB558E" w:rsidRPr="0081239D" w:rsidRDefault="00BB558E" w:rsidP="00BB558E">
      <w:pPr>
        <w:shd w:val="clear" w:color="auto" w:fill="FFFFFF"/>
        <w:ind w:right="0"/>
      </w:pPr>
    </w:p>
    <w:p w14:paraId="4684EEF2" w14:textId="77777777" w:rsidR="00BB558E" w:rsidRDefault="00BB558E" w:rsidP="00BB558E">
      <w:pPr>
        <w:autoSpaceDE w:val="0"/>
        <w:autoSpaceDN w:val="0"/>
        <w:adjustRightInd w:val="0"/>
        <w:ind w:right="0"/>
      </w:pPr>
    </w:p>
    <w:p w14:paraId="74CF8DD5" w14:textId="77777777" w:rsidR="00BB558E" w:rsidRDefault="00BB558E" w:rsidP="00BB558E">
      <w:pPr>
        <w:autoSpaceDE w:val="0"/>
        <w:autoSpaceDN w:val="0"/>
        <w:adjustRightInd w:val="0"/>
        <w:ind w:right="0"/>
        <w:rPr>
          <w:b/>
          <w:bCs/>
        </w:rPr>
      </w:pPr>
      <w:r>
        <w:rPr>
          <w:b/>
          <w:bCs/>
        </w:rPr>
        <w:t>Common</w:t>
      </w:r>
      <w:r w:rsidRPr="00F37535">
        <w:rPr>
          <w:b/>
          <w:bCs/>
        </w:rPr>
        <w:t xml:space="preserve"> </w:t>
      </w:r>
      <w:r>
        <w:rPr>
          <w:b/>
          <w:bCs/>
        </w:rPr>
        <w:t>Disorders (31)</w:t>
      </w:r>
    </w:p>
    <w:p w14:paraId="59810F00" w14:textId="77777777" w:rsidR="00BB558E" w:rsidRDefault="00BB558E" w:rsidP="00BB558E">
      <w:pPr>
        <w:autoSpaceDE w:val="0"/>
        <w:autoSpaceDN w:val="0"/>
        <w:adjustRightInd w:val="0"/>
        <w:ind w:right="0"/>
      </w:pPr>
      <w:r>
        <w:lastRenderedPageBreak/>
        <w:t>The enormous increase in our understanding of complex diseases and disorders</w:t>
      </w:r>
      <w:r w:rsidRPr="004A04BF">
        <w:rPr>
          <w:b/>
          <w:bCs/>
          <w:color w:val="C00000"/>
        </w:rPr>
        <w:t xml:space="preserve"> </w:t>
      </w:r>
      <w:r>
        <w:t>has been simultaneously surprising, impressive and disappointing. To understand why, it's useful to review some history.</w:t>
      </w:r>
    </w:p>
    <w:p w14:paraId="47295F1F" w14:textId="77777777" w:rsidR="00BB558E" w:rsidRDefault="00BB558E" w:rsidP="00BB558E">
      <w:pPr>
        <w:autoSpaceDE w:val="0"/>
        <w:autoSpaceDN w:val="0"/>
        <w:adjustRightInd w:val="0"/>
        <w:ind w:right="0"/>
      </w:pPr>
    </w:p>
    <w:p w14:paraId="19330639" w14:textId="77777777" w:rsidR="00BB558E" w:rsidRDefault="00BB558E" w:rsidP="00BB558E">
      <w:pPr>
        <w:autoSpaceDE w:val="0"/>
        <w:autoSpaceDN w:val="0"/>
        <w:adjustRightInd w:val="0"/>
        <w:ind w:right="0"/>
      </w:pPr>
      <w:r>
        <w:t xml:space="preserve">The early discussions of the HGP touted success in locating genes for conditions like cystic fibrosis and Huntington’s chorea. These were among the several thousand disorders known to be transmitted as </w:t>
      </w:r>
      <w:r w:rsidRPr="00321232">
        <w:t>Mendelian traits—behaving</w:t>
      </w:r>
      <w:r>
        <w:t xml:space="preserve"> as though the phenotype (i.e. the disease) was directly traceable to a single gene. The HGP was in part sold to Congress and the public as an engineering project, similar in spirit to the exploration of outer space but focused instead on mapping our "inner space" to </w:t>
      </w:r>
      <w:r w:rsidRPr="00AF4862">
        <w:t>locate</w:t>
      </w:r>
      <w:r>
        <w:t xml:space="preserve"> thousands of such diseases and traits that remained hidden somewhere in the human genome.</w:t>
      </w:r>
    </w:p>
    <w:p w14:paraId="55828A01" w14:textId="77777777" w:rsidR="00BB558E" w:rsidRPr="005A17B3" w:rsidRDefault="00BB558E" w:rsidP="00BB558E">
      <w:pPr>
        <w:spacing w:before="100" w:beforeAutospacing="1" w:after="100" w:afterAutospacing="1"/>
        <w:ind w:right="0"/>
      </w:pPr>
      <w:r w:rsidRPr="005A17B3">
        <w:t>While Mendelian traits provided an essential proof of concept, the justification for a massive sequencing effort was often extended to complex, polygenic conditions such as heart disease, diabetes, schizophrenia, and genetic susceptibility to cancer. Proponents argued that these debilitating—and often deadly—disorders could not be understood without first establishing a complete reference map of the human genome (</w:t>
      </w:r>
      <w:r>
        <w:t>32</w:t>
      </w:r>
      <w:r w:rsidRPr="005A17B3">
        <w:t>). I myself felt strongly that progress would be best served by having such a reference sequence, but I was not sanguine about near-term breakthroughs for common diseases. My belief was more modest: that genomics offered the most promising path forward, even if its clinical payoffs were likely to be indirect and slow to emerge. Consequently, my greatest surprise has been the extent to which genomics has in fact penetrate</w:t>
      </w:r>
      <w:r>
        <w:t>d</w:t>
      </w:r>
      <w:r w:rsidRPr="005A17B3">
        <w:t xml:space="preserve"> the molecular correlates of complex diseases and disorders.</w:t>
      </w:r>
    </w:p>
    <w:p w14:paraId="0BF52547" w14:textId="77777777" w:rsidR="00BB558E" w:rsidRPr="005A17B3" w:rsidRDefault="00BB558E" w:rsidP="00BB558E">
      <w:pPr>
        <w:spacing w:before="100" w:beforeAutospacing="1" w:after="100" w:afterAutospacing="1"/>
        <w:ind w:right="0"/>
      </w:pPr>
      <w:r w:rsidRPr="005A17B3">
        <w:t xml:space="preserve">A fuller perspective can be gained by recalling the emergence, in the early 1990s, of what I think of as the </w:t>
      </w:r>
      <w:r w:rsidRPr="005A17B3">
        <w:rPr>
          <w:i/>
          <w:iCs/>
        </w:rPr>
        <w:t>dominant allele paradigm</w:t>
      </w:r>
      <w:r w:rsidRPr="005A17B3">
        <w:t xml:space="preserve">. This view </w:t>
      </w:r>
      <w:r>
        <w:t>holds</w:t>
      </w:r>
      <w:r w:rsidRPr="005A17B3">
        <w:t xml:space="preserve"> that if common diseases were driven by one or a small number of widespread, large-effect genetic variants, then advances in gene replacement or editing might eliminate—or substantially ameliorate—multiple conditions at once, potentially improving the lives of tens of millions of people.</w:t>
      </w:r>
    </w:p>
    <w:p w14:paraId="56A3D142" w14:textId="77777777" w:rsidR="00BB558E" w:rsidRDefault="00BB558E" w:rsidP="00BB558E">
      <w:pPr>
        <w:ind w:right="0"/>
      </w:pPr>
      <w:r>
        <w:t xml:space="preserve">The dominant allele paradigm took shape following a striking discovery by researchers at Duke University (32,33). While studying lipid transport and homeostasis, they found that the </w:t>
      </w:r>
      <m:oMath>
        <m:r>
          <w:rPr>
            <w:rStyle w:val="math-inline"/>
            <w:rFonts w:ascii="Cambria Math" w:eastAsia="MS Mincho" w:hAnsi="Cambria Math" w:cs="Arial"/>
          </w:rPr>
          <m:t>ϵ4</m:t>
        </m:r>
      </m:oMath>
      <w:r>
        <w:t xml:space="preserve"> allele of th</w:t>
      </w:r>
      <w:r w:rsidRPr="00995B53">
        <w:t xml:space="preserve">e </w:t>
      </w:r>
      <w:r w:rsidRPr="00995B53">
        <w:rPr>
          <w:i/>
          <w:iCs/>
        </w:rPr>
        <w:t>APOE</w:t>
      </w:r>
      <w:r w:rsidRPr="00995B53">
        <w:t xml:space="preserve"> </w:t>
      </w:r>
      <w:r>
        <w:t>gene (</w:t>
      </w:r>
      <w:r w:rsidRPr="00995B53">
        <w:rPr>
          <w:i/>
          <w:iCs/>
        </w:rPr>
        <w:t>APOE4</w:t>
      </w:r>
      <w:r>
        <w:t xml:space="preserve">) is a primary genetic risk factor for late-onset Alzheimer’s disease. Individuals carrying two copies of </w:t>
      </w:r>
      <m:oMath>
        <m:r>
          <w:rPr>
            <w:rStyle w:val="math-inline"/>
            <w:rFonts w:ascii="Cambria Math" w:eastAsia="MS Mincho" w:hAnsi="Cambria Math" w:cs="Arial"/>
          </w:rPr>
          <m:t>ϵ4</m:t>
        </m:r>
      </m:oMath>
      <w:r>
        <w:t xml:space="preserve"> face a more than ten-fold increase in risk and a significantly earlier age of onset compared to non-carriers. This finding spurred optimism that the predisposition to other common diseases might sim</w:t>
      </w:r>
      <w:r w:rsidRPr="00464B58">
        <w:t>ilarly</w:t>
      </w:r>
      <w:r>
        <w:t xml:space="preserve"> be traced to a few high-effect genetic variants.</w:t>
      </w:r>
      <w:r w:rsidRPr="005A17B3">
        <w:rPr>
          <w:rFonts w:ascii="Arial" w:hAnsi="Arial" w:cs="Arial"/>
          <w:vanish/>
          <w:sz w:val="16"/>
          <w:szCs w:val="16"/>
        </w:rPr>
        <w:t>Top of Form</w:t>
      </w:r>
    </w:p>
    <w:p w14:paraId="659FC138" w14:textId="77777777" w:rsidR="00BB558E" w:rsidRPr="005A17B3" w:rsidRDefault="00BB558E" w:rsidP="00BB558E">
      <w:pPr>
        <w:ind w:right="0"/>
        <w:rPr>
          <w:rFonts w:ascii="Arial" w:hAnsi="Arial" w:cs="Arial"/>
          <w:vanish/>
          <w:sz w:val="16"/>
          <w:szCs w:val="16"/>
        </w:rPr>
      </w:pPr>
    </w:p>
    <w:p w14:paraId="3CC45EEE" w14:textId="77777777" w:rsidR="00BB558E" w:rsidRPr="005A17B3" w:rsidRDefault="00BB558E" w:rsidP="00BB558E">
      <w:pPr>
        <w:ind w:right="0"/>
        <w:rPr>
          <w:rFonts w:ascii="Arial" w:hAnsi="Arial" w:cs="Arial"/>
          <w:vanish/>
          <w:sz w:val="16"/>
          <w:szCs w:val="16"/>
        </w:rPr>
      </w:pPr>
      <w:r w:rsidRPr="005A17B3">
        <w:rPr>
          <w:rFonts w:ascii="Arial" w:hAnsi="Arial" w:cs="Arial"/>
          <w:vanish/>
          <w:sz w:val="16"/>
          <w:szCs w:val="16"/>
        </w:rPr>
        <w:t>Bottom of Form</w:t>
      </w:r>
    </w:p>
    <w:p w14:paraId="547AA547" w14:textId="77777777" w:rsidR="00BB558E" w:rsidRDefault="00BB558E" w:rsidP="00BB558E">
      <w:pPr>
        <w:autoSpaceDE w:val="0"/>
        <w:autoSpaceDN w:val="0"/>
        <w:adjustRightInd w:val="0"/>
        <w:ind w:right="0"/>
        <w:rPr>
          <w:color w:val="000000"/>
        </w:rPr>
      </w:pPr>
    </w:p>
    <w:p w14:paraId="00238650" w14:textId="77777777" w:rsidR="00BB558E" w:rsidRDefault="00BB558E" w:rsidP="00BB558E">
      <w:pPr>
        <w:autoSpaceDE w:val="0"/>
        <w:autoSpaceDN w:val="0"/>
        <w:adjustRightInd w:val="0"/>
        <w:ind w:right="0"/>
        <w:rPr>
          <w:color w:val="000000"/>
        </w:rPr>
      </w:pPr>
      <w:r w:rsidRPr="001A3C07">
        <w:rPr>
          <w:color w:val="000000"/>
        </w:rPr>
        <w:t>Unfortunately, one of the most important lessons of the post-2010 genomic era is that many—and perhaps most—common diseases are not dominated by a few alleles of large effect. Instead, they exhibit highly polygenic architectures, in which risk arises from the cumulative contributions of hundreds of thousands, or even millions, of small-effect genetic variants distributed across the genome. This pattern recurs across diverse complex diseases and even quantitative traits, such as height and educational attainment, revealing a general and previously unanticipated feature of human biology.</w:t>
      </w:r>
    </w:p>
    <w:p w14:paraId="6DE465A7" w14:textId="77777777" w:rsidR="00BB558E" w:rsidRPr="001A3C07" w:rsidRDefault="00BB558E" w:rsidP="00BB558E">
      <w:pPr>
        <w:autoSpaceDE w:val="0"/>
        <w:autoSpaceDN w:val="0"/>
        <w:adjustRightInd w:val="0"/>
        <w:ind w:right="0"/>
        <w:rPr>
          <w:color w:val="000000"/>
        </w:rPr>
      </w:pPr>
    </w:p>
    <w:p w14:paraId="6E1CB985" w14:textId="77777777" w:rsidR="00BB558E" w:rsidRDefault="00BB558E" w:rsidP="00BB558E">
      <w:pPr>
        <w:autoSpaceDE w:val="0"/>
        <w:autoSpaceDN w:val="0"/>
        <w:adjustRightInd w:val="0"/>
        <w:ind w:right="0"/>
        <w:rPr>
          <w:color w:val="000000"/>
        </w:rPr>
      </w:pPr>
      <w:r w:rsidRPr="001A3C07">
        <w:rPr>
          <w:color w:val="000000"/>
        </w:rPr>
        <w:lastRenderedPageBreak/>
        <w:t>Long before the advent of modern genomics, twin and pedigree studies established that many disorders and traits have substantial genetic components, ranging from roughly 30–40% for type 2 diabetes to about 70–80% for schizophrenia. These high heritability estimates further motivated a search for a small number of common causal variants with large effects. Schizophrenia became the paradigm case, both because of its high heritability and because of the apparent paradox that its historically reduced reproductive fitness—on average, fewer than one child per affected individual—renders the persistence of a single common, large-effect allele evolutionarily implausible (</w:t>
      </w:r>
      <w:r>
        <w:rPr>
          <w:color w:val="000000"/>
        </w:rPr>
        <w:t>34</w:t>
      </w:r>
      <w:r w:rsidRPr="001A3C07">
        <w:rPr>
          <w:color w:val="000000"/>
        </w:rPr>
        <w:t xml:space="preserve">). The fact that this search continued for decades despite numerous failures is a reminder of the difficulty in letting go of even a </w:t>
      </w:r>
      <w:r>
        <w:rPr>
          <w:color w:val="000000"/>
        </w:rPr>
        <w:t>weakly supported</w:t>
      </w:r>
      <w:r w:rsidRPr="001A3C07">
        <w:rPr>
          <w:color w:val="000000"/>
        </w:rPr>
        <w:t xml:space="preserve"> paradigm (3</w:t>
      </w:r>
      <w:r>
        <w:rPr>
          <w:color w:val="000000"/>
        </w:rPr>
        <w:t>5</w:t>
      </w:r>
      <w:r w:rsidRPr="001A3C07">
        <w:rPr>
          <w:color w:val="000000"/>
        </w:rPr>
        <w:t>-3</w:t>
      </w:r>
      <w:r>
        <w:rPr>
          <w:color w:val="000000"/>
        </w:rPr>
        <w:t>7</w:t>
      </w:r>
      <w:r w:rsidRPr="001A3C07">
        <w:rPr>
          <w:color w:val="000000"/>
        </w:rPr>
        <w:t>)</w:t>
      </w:r>
      <w:r>
        <w:rPr>
          <w:color w:val="000000"/>
        </w:rPr>
        <w:t>.</w:t>
      </w:r>
    </w:p>
    <w:p w14:paraId="5F06034C" w14:textId="77777777" w:rsidR="00BB558E" w:rsidRPr="001A3C07" w:rsidRDefault="00BB558E" w:rsidP="00BB558E">
      <w:pPr>
        <w:autoSpaceDE w:val="0"/>
        <w:autoSpaceDN w:val="0"/>
        <w:adjustRightInd w:val="0"/>
        <w:ind w:right="0"/>
        <w:rPr>
          <w:color w:val="000000"/>
        </w:rPr>
      </w:pPr>
    </w:p>
    <w:p w14:paraId="04B96EAD" w14:textId="77777777" w:rsidR="00BB558E" w:rsidRPr="004B4023" w:rsidRDefault="00BB558E" w:rsidP="00BB558E">
      <w:pPr>
        <w:ind w:right="0"/>
        <w:rPr>
          <w:color w:val="000000"/>
        </w:rPr>
      </w:pPr>
      <w:r w:rsidRPr="000228EB">
        <w:rPr>
          <w:color w:val="000000"/>
        </w:rPr>
        <w:t>A key contribution of modern genomic technologies—particularly genome-wide association studies (GWAS) applied to very large cohorts</w:t>
      </w:r>
      <w:r>
        <w:rPr>
          <w:color w:val="000000"/>
        </w:rPr>
        <w:t xml:space="preserve"> (38)</w:t>
      </w:r>
      <w:r w:rsidRPr="000228EB">
        <w:rPr>
          <w:color w:val="000000"/>
        </w:rPr>
        <w:t>—has been the ability to estimate the aggregate contribution of common genetic variants distributed across the genome to differences in disease risk among individuals. Rather than attributing risk to a small number of loci of large effect, GWAS has revealed that for many common disorders genetic liability is spread across thousands of variants, producing measurable variation in inherited susceptibility across the population</w:t>
      </w:r>
      <w:r>
        <w:rPr>
          <w:color w:val="000000"/>
        </w:rPr>
        <w:t xml:space="preserve"> (39).</w:t>
      </w:r>
    </w:p>
    <w:p w14:paraId="58D7A42F" w14:textId="77777777" w:rsidR="00BB558E" w:rsidRPr="004B4023" w:rsidRDefault="00BB558E" w:rsidP="00BB558E">
      <w:pPr>
        <w:ind w:right="0"/>
        <w:rPr>
          <w:color w:val="000000"/>
        </w:rPr>
      </w:pPr>
    </w:p>
    <w:p w14:paraId="63C287E6" w14:textId="77777777" w:rsidR="00BB558E" w:rsidRDefault="00BB558E" w:rsidP="00BB558E">
      <w:pPr>
        <w:autoSpaceDE w:val="0"/>
        <w:autoSpaceDN w:val="0"/>
        <w:adjustRightInd w:val="0"/>
        <w:ind w:right="0"/>
        <w:rPr>
          <w:color w:val="000000"/>
        </w:rPr>
      </w:pPr>
      <w:r w:rsidRPr="004B4023">
        <w:rPr>
          <w:color w:val="000000"/>
        </w:rPr>
        <w:t>The standard framework for interpreting population-level variation in genetic risk is the polygenic liability-threshold model</w:t>
      </w:r>
      <w:r>
        <w:rPr>
          <w:color w:val="000000"/>
        </w:rPr>
        <w:t>, in which</w:t>
      </w:r>
      <w:r w:rsidRPr="004B4023">
        <w:rPr>
          <w:color w:val="000000"/>
        </w:rPr>
        <w:t xml:space="preserve"> each individual is assumed to have an unobserved liability</w:t>
      </w:r>
      <w:r>
        <w:rPr>
          <w:color w:val="000000"/>
        </w:rPr>
        <w:t xml:space="preserve"> composed </w:t>
      </w:r>
      <w:r w:rsidRPr="004B4023">
        <w:rPr>
          <w:color w:val="000000"/>
        </w:rPr>
        <w:t>of genetic and environmental components</w:t>
      </w:r>
      <w:r>
        <w:rPr>
          <w:color w:val="000000"/>
        </w:rPr>
        <w:t xml:space="preserve">, and </w:t>
      </w:r>
      <w:r w:rsidRPr="004B4023">
        <w:rPr>
          <w:color w:val="000000"/>
        </w:rPr>
        <w:t>treated as approximately normally distributed in the population</w:t>
      </w:r>
      <w:r>
        <w:rPr>
          <w:color w:val="000000"/>
        </w:rPr>
        <w:t xml:space="preserve">. </w:t>
      </w:r>
      <w:r w:rsidRPr="004B4023">
        <w:rPr>
          <w:color w:val="000000"/>
        </w:rPr>
        <w:t xml:space="preserve">The mean and variance of the genetic contribution are estimated primarily from familial data, including twin and other family-based studies, while an individual’s relative position within the genetic component can be approximated by aggregating the small, mostly additive effects of many common variants, chiefly single-nucleotide polymorphisms (SNPs) identified in genome-wide association studies (GWAS). </w:t>
      </w:r>
    </w:p>
    <w:p w14:paraId="38E460D1" w14:textId="77777777" w:rsidR="00BB558E" w:rsidRDefault="00BB558E" w:rsidP="00BB558E">
      <w:pPr>
        <w:autoSpaceDE w:val="0"/>
        <w:autoSpaceDN w:val="0"/>
        <w:adjustRightInd w:val="0"/>
        <w:ind w:right="0"/>
        <w:rPr>
          <w:color w:val="000000"/>
        </w:rPr>
      </w:pPr>
    </w:p>
    <w:p w14:paraId="2C62F8BC" w14:textId="77777777" w:rsidR="00BB558E" w:rsidRDefault="00BB558E" w:rsidP="00BB558E">
      <w:pPr>
        <w:autoSpaceDE w:val="0"/>
        <w:autoSpaceDN w:val="0"/>
        <w:adjustRightInd w:val="0"/>
        <w:ind w:right="0"/>
        <w:rPr>
          <w:color w:val="000000"/>
        </w:rPr>
      </w:pPr>
      <w:r w:rsidRPr="004B4023">
        <w:rPr>
          <w:color w:val="000000"/>
        </w:rPr>
        <w:t>Because these effects combine approximately additively, similar overall levels of genetic liability can arise from a very large number of distinct genotypic combinations. For dichotomous disorders, the observed phenotype is modeled as occurring in individuals whose total liability exceeds a threshold, with the threshold related to the disorder’s population prevalence; for schizophrenia, lifetime prevalence is often taken to be on the order of 1%.</w:t>
      </w:r>
    </w:p>
    <w:p w14:paraId="6BED10B9" w14:textId="77777777" w:rsidR="00BB558E" w:rsidRPr="001A3C07" w:rsidRDefault="00BB558E" w:rsidP="00BB558E">
      <w:pPr>
        <w:autoSpaceDE w:val="0"/>
        <w:autoSpaceDN w:val="0"/>
        <w:adjustRightInd w:val="0"/>
        <w:ind w:right="0"/>
        <w:rPr>
          <w:color w:val="000000"/>
        </w:rPr>
      </w:pPr>
    </w:p>
    <w:p w14:paraId="00A76D8A" w14:textId="77777777" w:rsidR="00BB558E" w:rsidRPr="001A3C07" w:rsidRDefault="00BB558E" w:rsidP="00BB558E">
      <w:pPr>
        <w:autoSpaceDE w:val="0"/>
        <w:autoSpaceDN w:val="0"/>
        <w:adjustRightInd w:val="0"/>
        <w:ind w:right="0"/>
        <w:rPr>
          <w:color w:val="000000"/>
        </w:rPr>
      </w:pPr>
      <w:r w:rsidRPr="001A3C07">
        <w:rPr>
          <w:color w:val="000000"/>
        </w:rPr>
        <w:t>This framework has consequences not only for prediction, but also for evolution. It resolves the long-standing evolutionary paradox of schizophrenia (</w:t>
      </w:r>
      <w:r>
        <w:rPr>
          <w:color w:val="000000"/>
        </w:rPr>
        <w:t>40</w:t>
      </w:r>
      <w:r w:rsidRPr="001A3C07">
        <w:rPr>
          <w:color w:val="000000"/>
        </w:rPr>
        <w:t>)</w:t>
      </w:r>
      <w:r>
        <w:rPr>
          <w:color w:val="000000"/>
        </w:rPr>
        <w:t>;</w:t>
      </w:r>
      <w:r w:rsidRPr="001A3C07">
        <w:rPr>
          <w:color w:val="000000"/>
        </w:rPr>
        <w:t xml:space="preserve"> namely, the disorder persists despite the reduced reproductive fitness of affected individuals. If schizophrenia were caused by a single gene, or even a small number of large-effect genes, classical population-genetic</w:t>
      </w:r>
      <w:r>
        <w:rPr>
          <w:color w:val="000000"/>
        </w:rPr>
        <w:t xml:space="preserve">s </w:t>
      </w:r>
      <w:r w:rsidRPr="001A3C07">
        <w:rPr>
          <w:color w:val="000000"/>
        </w:rPr>
        <w:t>predict</w:t>
      </w:r>
      <w:r>
        <w:rPr>
          <w:color w:val="000000"/>
        </w:rPr>
        <w:t>s</w:t>
      </w:r>
      <w:r w:rsidRPr="001A3C07">
        <w:rPr>
          <w:color w:val="000000"/>
        </w:rPr>
        <w:t xml:space="preserve"> that negative selection would rapidly eliminate </w:t>
      </w:r>
      <w:r>
        <w:rPr>
          <w:color w:val="000000"/>
        </w:rPr>
        <w:t>the</w:t>
      </w:r>
      <w:r w:rsidRPr="001A3C07">
        <w:rPr>
          <w:color w:val="000000"/>
        </w:rPr>
        <w:t xml:space="preserve"> deleterious variant (</w:t>
      </w:r>
      <w:r>
        <w:rPr>
          <w:color w:val="000000"/>
        </w:rPr>
        <w:t>41</w:t>
      </w:r>
      <w:r w:rsidRPr="001A3C07">
        <w:rPr>
          <w:color w:val="000000"/>
        </w:rPr>
        <w:t xml:space="preserve">). Instead, schizophrenia reflects the aggregate effects of hundreds of thousands, and likely more, of common and rare variants that together define a continuous liability distribution. Because there are an enormous number of genetic configurations that can place an individual in the extreme upper tail of this distribution, the reduced reproductive success of affected individuals removes only a vanishingly small fraction of the total contributing variants. The vast majority are carried by the remaining ~99% of individuals, who are phenotypically unaffected and largely reproductively fit. As a consequence, natural selection acts only weakly and diffusely on the underlying genetic </w:t>
      </w:r>
      <w:r w:rsidRPr="001A3C07">
        <w:rPr>
          <w:color w:val="000000"/>
        </w:rPr>
        <w:lastRenderedPageBreak/>
        <w:t>architecture, allowing schizophrenia to persist despite its negative fitness in the affected minority.</w:t>
      </w:r>
    </w:p>
    <w:p w14:paraId="32220300" w14:textId="77777777" w:rsidR="00BB558E" w:rsidRPr="00612DC5" w:rsidRDefault="00BB558E" w:rsidP="00BB558E">
      <w:pPr>
        <w:spacing w:before="100" w:beforeAutospacing="1" w:after="100" w:afterAutospacing="1"/>
        <w:ind w:right="0"/>
        <w:rPr>
          <w:color w:val="000000"/>
        </w:rPr>
      </w:pPr>
      <w:r w:rsidRPr="00612DC5">
        <w:rPr>
          <w:color w:val="000000"/>
        </w:rPr>
        <w:t>One of the major developments of the past fifteen years is not merely the recognition that many common diseases are polygenic, but that the quantitative relationship between DNA variation and genetic liability follows broadly similar statistical patterns across a range of disorders. For schizophrenia, estimates based on SNP-heritability methods suggest that roughly 20–30% of the variance in liability is attributable to common genetic variation tagged by SNPs, although estimates on the liability scale can be somewhat higher (often cited in the range of ~30–50%) depending on assumptions about prevalence and ascertainment. Of this SNP-based component, a fraction—currently on the order of one quarter to one third—can be captured for the purpose of ranking individuals by genetic risk using existing GWAS sample sizes and methods. This predictive component is summarized in the polygenic risk score (PRS), a single numerical measure of inherited susceptibility constructed by summing the small effects of many common variants, each weighted by its association with disease in large population studies.</w:t>
      </w:r>
    </w:p>
    <w:p w14:paraId="5DD9F5DC" w14:textId="77777777" w:rsidR="00BB558E" w:rsidRPr="001A3C07" w:rsidRDefault="00BB558E" w:rsidP="00BB558E">
      <w:pPr>
        <w:spacing w:before="100" w:beforeAutospacing="1" w:after="100" w:afterAutospacing="1"/>
        <w:ind w:right="0"/>
        <w:rPr>
          <w:color w:val="000000"/>
        </w:rPr>
      </w:pPr>
      <w:r w:rsidRPr="00612DC5">
        <w:rPr>
          <w:color w:val="000000"/>
        </w:rPr>
        <w:t>The practical value of PRS lies in identifying individuals in the upper tail of the liability distribution, where risk is substantially elevated, thereby enabling the possibility of targeted prevention or earlier surveillance. This capability has emerged only with the advent of dense genotyping and very large genomic cohorts. Some studies suggest that disclosure of PRS can, in certain settings, modestly influence preventive behavior or clinical monitoring, although the magnitude, durability, and generalizability of these effects remain under active investigation. It is therefore important to emphasize that polygenic scores quantify relative risk rather than provide deterministic predictions: a higher PRS implies an increased probability of disease, not certainty.</w:t>
      </w:r>
    </w:p>
    <w:p w14:paraId="0DB9DC9E" w14:textId="77777777" w:rsidR="00BB558E" w:rsidRDefault="00BB558E" w:rsidP="00BB558E">
      <w:pPr>
        <w:autoSpaceDE w:val="0"/>
        <w:autoSpaceDN w:val="0"/>
        <w:adjustRightInd w:val="0"/>
        <w:ind w:right="0"/>
        <w:rPr>
          <w:color w:val="000000"/>
        </w:rPr>
      </w:pPr>
      <w:r w:rsidRPr="001A3C07">
        <w:rPr>
          <w:color w:val="000000"/>
        </w:rPr>
        <w:t>The remaining fraction of genetic liability not accounted for by common variants reflects a combination of rare coding variants and copy-number variants with larger individual effects, structural variants</w:t>
      </w:r>
      <w:r>
        <w:rPr>
          <w:color w:val="000000"/>
        </w:rPr>
        <w:t xml:space="preserve"> (42)</w:t>
      </w:r>
      <w:r w:rsidRPr="001A3C07">
        <w:rPr>
          <w:color w:val="000000"/>
        </w:rPr>
        <w:t xml:space="preserve">, genetic influences below the statistical resolution of current GWAS, modest non-additive effects, gene–environment interactions, and intrinsic limits of heritability estimation. This </w:t>
      </w:r>
      <w:r>
        <w:rPr>
          <w:color w:val="000000"/>
        </w:rPr>
        <w:t xml:space="preserve">so-called </w:t>
      </w:r>
      <w:r w:rsidRPr="001A3C07">
        <w:rPr>
          <w:color w:val="000000"/>
        </w:rPr>
        <w:t>missing component is</w:t>
      </w:r>
      <w:r>
        <w:rPr>
          <w:color w:val="000000"/>
        </w:rPr>
        <w:t>, therefore,</w:t>
      </w:r>
      <w:r w:rsidRPr="001A3C07">
        <w:rPr>
          <w:color w:val="000000"/>
        </w:rPr>
        <w:t xml:space="preserve"> primarily a </w:t>
      </w:r>
      <w:r>
        <w:rPr>
          <w:color w:val="000000"/>
        </w:rPr>
        <w:t>consequence</w:t>
      </w:r>
      <w:r w:rsidRPr="001A3C07">
        <w:rPr>
          <w:color w:val="000000"/>
        </w:rPr>
        <w:t xml:space="preserve"> of statistical and technological accessibility rather than evidence for undiscovered categories of genetic mechanism.</w:t>
      </w:r>
    </w:p>
    <w:p w14:paraId="2E51538B" w14:textId="77777777" w:rsidR="00BB558E" w:rsidRPr="001A3C07" w:rsidRDefault="00BB558E" w:rsidP="00BB558E">
      <w:pPr>
        <w:autoSpaceDE w:val="0"/>
        <w:autoSpaceDN w:val="0"/>
        <w:adjustRightInd w:val="0"/>
        <w:ind w:right="0"/>
        <w:rPr>
          <w:color w:val="000000"/>
        </w:rPr>
      </w:pPr>
    </w:p>
    <w:p w14:paraId="00FED38A" w14:textId="77777777" w:rsidR="00BB558E" w:rsidRPr="001A3C07" w:rsidRDefault="00BB558E" w:rsidP="00BB558E">
      <w:pPr>
        <w:autoSpaceDE w:val="0"/>
        <w:autoSpaceDN w:val="0"/>
        <w:adjustRightInd w:val="0"/>
        <w:ind w:right="0"/>
        <w:rPr>
          <w:color w:val="000000"/>
        </w:rPr>
      </w:pPr>
      <w:r w:rsidRPr="001A3C07">
        <w:rPr>
          <w:color w:val="000000"/>
        </w:rPr>
        <w:t>A broadly similar pattern—substantial heritability estimated from family studies, hundreds of thousands of contributing variants required to capture a meaningful fraction of the variance, and a modest but actionable predictive component—has now been observed for multiple disorders. These include, among others, type 2 diabetes (heritability ~30–40%; ~10</w:t>
      </w:r>
      <w:r w:rsidRPr="007520BA">
        <w:rPr>
          <w:color w:val="000000"/>
          <w:vertAlign w:val="superscript"/>
        </w:rPr>
        <w:t>6</w:t>
      </w:r>
      <w:r w:rsidRPr="001A3C07">
        <w:rPr>
          <w:color w:val="000000"/>
        </w:rPr>
        <w:t xml:space="preserve"> contributing variants; PRS explaining ~8–9% of total liability variance) and coronary artery disease (heritability ~40–60%; &gt;10</w:t>
      </w:r>
      <w:r w:rsidRPr="007520BA">
        <w:rPr>
          <w:color w:val="000000"/>
          <w:vertAlign w:val="superscript"/>
        </w:rPr>
        <w:t>6</w:t>
      </w:r>
      <w:r w:rsidRPr="001A3C07">
        <w:rPr>
          <w:color w:val="000000"/>
        </w:rPr>
        <w:t xml:space="preserve"> contributing variants; PRS explaining ~2–4% of variance).</w:t>
      </w:r>
    </w:p>
    <w:p w14:paraId="4B061904" w14:textId="77777777" w:rsidR="00BB558E" w:rsidRDefault="00BB558E" w:rsidP="00BB558E">
      <w:pPr>
        <w:spacing w:before="100" w:beforeAutospacing="1" w:after="100" w:afterAutospacing="1"/>
        <w:ind w:right="0"/>
        <w:rPr>
          <w:b/>
          <w:bCs/>
        </w:rPr>
      </w:pPr>
      <w:r w:rsidRPr="007E33ED">
        <w:t xml:space="preserve">These quantitative results </w:t>
      </w:r>
      <w:r>
        <w:t>complement</w:t>
      </w:r>
      <w:r w:rsidRPr="007E33ED">
        <w:t xml:space="preserve"> a parallel line of work emphasizing the networked structure of the phenome</w:t>
      </w:r>
      <w:r>
        <w:t xml:space="preserve"> (43)</w:t>
      </w:r>
      <w:r w:rsidRPr="007E33ED">
        <w:t xml:space="preserve">. Disease phenotypes increasingly appear not as isolated entities but as </w:t>
      </w:r>
      <w:r>
        <w:t>nodes (components)</w:t>
      </w:r>
      <w:r w:rsidRPr="007E33ED">
        <w:t xml:space="preserve"> </w:t>
      </w:r>
      <w:r>
        <w:t>in a</w:t>
      </w:r>
      <w:r w:rsidRPr="007E33ED">
        <w:t xml:space="preserve"> connected landscape, linked by shared genes, overlapping functional modules, and cross-phenotype correlations</w:t>
      </w:r>
      <w:r>
        <w:t xml:space="preserve"> (44, 45)</w:t>
      </w:r>
      <w:r w:rsidRPr="007E33ED">
        <w:t>. From this perspective, a disorder reflects perturbations in one or more gene modules whose effects may extend across multiple clinical categories.</w:t>
      </w:r>
      <w:r>
        <w:t xml:space="preserve"> </w:t>
      </w:r>
    </w:p>
    <w:p w14:paraId="43FA9E06" w14:textId="77777777" w:rsidR="00BB558E" w:rsidRDefault="00BB558E" w:rsidP="00BB558E">
      <w:pPr>
        <w:spacing w:before="100" w:beforeAutospacing="1" w:after="100" w:afterAutospacing="1"/>
        <w:ind w:right="0"/>
      </w:pPr>
    </w:p>
    <w:p w14:paraId="008D1CE2" w14:textId="77777777" w:rsidR="00BB558E" w:rsidRDefault="00BB558E" w:rsidP="00BB558E">
      <w:pPr>
        <w:spacing w:before="100" w:beforeAutospacing="1" w:after="100" w:afterAutospacing="1"/>
        <w:ind w:right="0"/>
      </w:pPr>
      <w:r>
        <w:rPr>
          <w:noProof/>
        </w:rPr>
        <w:drawing>
          <wp:inline distT="0" distB="0" distL="0" distR="0" wp14:anchorId="55546B39" wp14:editId="22A240DA">
            <wp:extent cx="4518450" cy="5438692"/>
            <wp:effectExtent l="0" t="0" r="3175" b="0"/>
            <wp:docPr id="1139964936" name="Picture 1" descr="A diagram of a cancer ce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120071" name="Picture 1" descr="A diagram of a cancer cell&#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4539921" cy="5464536"/>
                    </a:xfrm>
                    <a:prstGeom prst="rect">
                      <a:avLst/>
                    </a:prstGeom>
                  </pic:spPr>
                </pic:pic>
              </a:graphicData>
            </a:graphic>
          </wp:inline>
        </w:drawing>
      </w:r>
    </w:p>
    <w:p w14:paraId="4099AF44" w14:textId="77777777" w:rsidR="00BB558E" w:rsidRDefault="00BB558E" w:rsidP="00BB558E">
      <w:pPr>
        <w:ind w:right="0"/>
        <w:rPr>
          <w:sz w:val="22"/>
          <w:szCs w:val="22"/>
        </w:rPr>
      </w:pPr>
      <w:r>
        <w:rPr>
          <w:i/>
          <w:iCs/>
          <w:sz w:val="22"/>
          <w:szCs w:val="22"/>
        </w:rPr>
        <w:t xml:space="preserve">Figure A: a cartoon illustrating the concept of gene sets associated with common disorders, which are themselves functionally connected (e.g. Alzheimer’s disease and hypercholesterolemia). </w:t>
      </w:r>
      <w:r w:rsidRPr="0096729C">
        <w:rPr>
          <w:i/>
          <w:iCs/>
          <w:sz w:val="22"/>
          <w:szCs w:val="22"/>
        </w:rPr>
        <w:t>Figure B</w:t>
      </w:r>
      <w:r>
        <w:rPr>
          <w:i/>
          <w:iCs/>
          <w:sz w:val="22"/>
          <w:szCs w:val="22"/>
        </w:rPr>
        <w:t>:</w:t>
      </w:r>
      <w:r w:rsidRPr="0096729C">
        <w:rPr>
          <w:i/>
          <w:iCs/>
          <w:sz w:val="22"/>
          <w:szCs w:val="22"/>
        </w:rPr>
        <w:t xml:space="preserve"> a segment of a disease landscape showing functional connections between and among Alzheimer’s disease genes (purple nodes) and hypercholesterolemia disease genes (blue nodes). Green edges represent functional links between Alzheimer's disease genes and Hypercholesterolemia genes, whereas light blue edges represent functional links connecting genes associated with the same disease. Edge thickness is proportional to linkage weight. The Alzheimer’s disease (AD) and Hypercholesterolemia (HC) modules are part of a hierarchy as shown in Figure A.</w:t>
      </w:r>
      <w:r>
        <w:rPr>
          <w:sz w:val="22"/>
          <w:szCs w:val="22"/>
        </w:rPr>
        <w:t xml:space="preserve"> </w:t>
      </w:r>
    </w:p>
    <w:p w14:paraId="62E5A123" w14:textId="77777777" w:rsidR="00BB558E" w:rsidRPr="00962BAE" w:rsidRDefault="00BB558E" w:rsidP="00BB558E">
      <w:pPr>
        <w:ind w:right="0"/>
        <w:rPr>
          <w:sz w:val="22"/>
          <w:szCs w:val="22"/>
        </w:rPr>
      </w:pPr>
      <w:r>
        <w:rPr>
          <w:color w:val="000000" w:themeColor="text1"/>
          <w:sz w:val="22"/>
          <w:szCs w:val="22"/>
        </w:rPr>
        <w:t xml:space="preserve">From </w:t>
      </w:r>
      <w:r w:rsidRPr="00E61CE3">
        <w:rPr>
          <w:color w:val="000000" w:themeColor="text1"/>
          <w:sz w:val="22"/>
          <w:szCs w:val="22"/>
        </w:rPr>
        <w:t>Linghu, B</w:t>
      </w:r>
      <w:r>
        <w:rPr>
          <w:color w:val="000000" w:themeColor="text1"/>
          <w:sz w:val="22"/>
          <w:szCs w:val="22"/>
        </w:rPr>
        <w:t xml:space="preserve">, </w:t>
      </w:r>
      <w:r w:rsidRPr="00E61CE3">
        <w:rPr>
          <w:color w:val="000000" w:themeColor="text1"/>
          <w:sz w:val="22"/>
          <w:szCs w:val="22"/>
        </w:rPr>
        <w:t xml:space="preserve"> E</w:t>
      </w:r>
      <w:r>
        <w:rPr>
          <w:color w:val="000000" w:themeColor="text1"/>
          <w:sz w:val="22"/>
          <w:szCs w:val="22"/>
        </w:rPr>
        <w:t>.</w:t>
      </w:r>
      <w:r w:rsidRPr="00E61CE3">
        <w:rPr>
          <w:color w:val="000000" w:themeColor="text1"/>
          <w:sz w:val="22"/>
          <w:szCs w:val="22"/>
        </w:rPr>
        <w:t>S</w:t>
      </w:r>
      <w:r>
        <w:rPr>
          <w:color w:val="000000" w:themeColor="text1"/>
          <w:sz w:val="22"/>
          <w:szCs w:val="22"/>
        </w:rPr>
        <w:t>.</w:t>
      </w:r>
      <w:r w:rsidRPr="00E61CE3">
        <w:rPr>
          <w:color w:val="000000" w:themeColor="text1"/>
          <w:sz w:val="22"/>
          <w:szCs w:val="22"/>
        </w:rPr>
        <w:t xml:space="preserve"> Snitkin, Z Hu, Y</w:t>
      </w:r>
      <w:r>
        <w:rPr>
          <w:color w:val="000000" w:themeColor="text1"/>
          <w:sz w:val="22"/>
          <w:szCs w:val="22"/>
        </w:rPr>
        <w:t>.</w:t>
      </w:r>
      <w:r w:rsidRPr="00E61CE3">
        <w:rPr>
          <w:color w:val="000000" w:themeColor="text1"/>
          <w:sz w:val="22"/>
          <w:szCs w:val="22"/>
        </w:rPr>
        <w:t xml:space="preserve"> Xia, C</w:t>
      </w:r>
      <w:r>
        <w:rPr>
          <w:color w:val="000000" w:themeColor="text1"/>
          <w:sz w:val="22"/>
          <w:szCs w:val="22"/>
        </w:rPr>
        <w:t>.</w:t>
      </w:r>
      <w:r w:rsidRPr="00E61CE3">
        <w:rPr>
          <w:color w:val="000000" w:themeColor="text1"/>
          <w:sz w:val="22"/>
          <w:szCs w:val="22"/>
        </w:rPr>
        <w:t xml:space="preserve"> DeLisi</w:t>
      </w:r>
      <w:r>
        <w:rPr>
          <w:color w:val="000000" w:themeColor="text1"/>
          <w:sz w:val="22"/>
          <w:szCs w:val="22"/>
        </w:rPr>
        <w:t>.</w:t>
      </w:r>
      <w:r w:rsidRPr="00E61CE3">
        <w:rPr>
          <w:color w:val="000000" w:themeColor="text1"/>
          <w:sz w:val="22"/>
          <w:szCs w:val="22"/>
        </w:rPr>
        <w:t xml:space="preserve"> </w:t>
      </w:r>
      <w:r>
        <w:rPr>
          <w:color w:val="000000" w:themeColor="text1"/>
          <w:sz w:val="22"/>
          <w:szCs w:val="22"/>
        </w:rPr>
        <w:t>"</w:t>
      </w:r>
      <w:r w:rsidRPr="00E61CE3">
        <w:rPr>
          <w:color w:val="000000" w:themeColor="text1"/>
          <w:sz w:val="22"/>
          <w:szCs w:val="22"/>
        </w:rPr>
        <w:t>Genome-wide prioritization of disease genes and identification of disease-disease associations from an integrated human functional linkage network</w:t>
      </w:r>
      <w:r>
        <w:rPr>
          <w:color w:val="000000" w:themeColor="text1"/>
          <w:sz w:val="22"/>
          <w:szCs w:val="22"/>
        </w:rPr>
        <w:t>",</w:t>
      </w:r>
      <w:r w:rsidRPr="00E61CE3">
        <w:rPr>
          <w:color w:val="000000" w:themeColor="text1"/>
          <w:sz w:val="22"/>
          <w:szCs w:val="22"/>
        </w:rPr>
        <w:t xml:space="preserve"> </w:t>
      </w:r>
      <w:r w:rsidRPr="0096729C">
        <w:rPr>
          <w:i/>
          <w:iCs/>
          <w:color w:val="000000" w:themeColor="text1"/>
          <w:sz w:val="22"/>
          <w:szCs w:val="22"/>
        </w:rPr>
        <w:t xml:space="preserve">Genome </w:t>
      </w:r>
      <w:r>
        <w:rPr>
          <w:i/>
          <w:iCs/>
          <w:color w:val="000000" w:themeColor="text1"/>
          <w:sz w:val="22"/>
          <w:szCs w:val="22"/>
        </w:rPr>
        <w:t>B</w:t>
      </w:r>
      <w:r w:rsidRPr="0096729C">
        <w:rPr>
          <w:i/>
          <w:iCs/>
          <w:color w:val="000000" w:themeColor="text1"/>
          <w:sz w:val="22"/>
          <w:szCs w:val="22"/>
        </w:rPr>
        <w:t>iology</w:t>
      </w:r>
      <w:r w:rsidRPr="00E61CE3">
        <w:rPr>
          <w:color w:val="000000" w:themeColor="text1"/>
          <w:sz w:val="22"/>
          <w:szCs w:val="22"/>
        </w:rPr>
        <w:t xml:space="preserve"> 10 (9), R91 2009</w:t>
      </w:r>
    </w:p>
    <w:p w14:paraId="1E63B46D" w14:textId="77777777" w:rsidR="00BB558E" w:rsidRPr="007E33ED" w:rsidRDefault="00BB558E" w:rsidP="00BB558E">
      <w:pPr>
        <w:spacing w:before="100" w:beforeAutospacing="1" w:after="100" w:afterAutospacing="1"/>
        <w:ind w:right="0"/>
      </w:pPr>
      <w:r w:rsidRPr="007E33ED">
        <w:lastRenderedPageBreak/>
        <w:t>The emerging picture is therefore two-dimensional: disorders have an internal genetic architecture that can be quantified, and they also occupy positions within a broader network of related phenotypes.</w:t>
      </w:r>
    </w:p>
    <w:p w14:paraId="720D84F9" w14:textId="77777777" w:rsidR="00BB558E" w:rsidRDefault="00BB558E" w:rsidP="00BB558E">
      <w:pPr>
        <w:spacing w:before="100" w:beforeAutospacing="1" w:after="100" w:afterAutospacing="1"/>
        <w:ind w:right="0"/>
      </w:pPr>
      <w:r w:rsidRPr="007E33ED">
        <w:t>Taken together, these observations argue for a measured extension of clinical nosology</w:t>
      </w:r>
      <w:r>
        <w:t xml:space="preserve"> </w:t>
      </w:r>
      <w:r w:rsidRPr="007E33ED">
        <w:t xml:space="preserve">in two complementary directions. One is a </w:t>
      </w:r>
      <w:r w:rsidRPr="007E33ED">
        <w:rPr>
          <w:i/>
          <w:iCs/>
        </w:rPr>
        <w:t>quantitative axis</w:t>
      </w:r>
      <w:r w:rsidRPr="007E33ED">
        <w:t xml:space="preserve"> that characterizes genetic architecture—overall heritability, SNP-heritability, and the predictive performance of polygenic scores—thereby making explicit how risk is distributed and how measurable it is at the population level. The other is a </w:t>
      </w:r>
      <w:r w:rsidRPr="007E33ED">
        <w:rPr>
          <w:i/>
          <w:iCs/>
        </w:rPr>
        <w:t>connectivity axis</w:t>
      </w:r>
      <w:r w:rsidRPr="007E33ED">
        <w:t xml:space="preserve"> that situates disorders within the wider disease landscape by recognizing shared or functionally related gene modules and recurrent comorbidity patterns.</w:t>
      </w:r>
    </w:p>
    <w:p w14:paraId="0BB33A53" w14:textId="77777777" w:rsidR="00BB558E" w:rsidRDefault="00BB558E" w:rsidP="00BB558E">
      <w:pPr>
        <w:spacing w:before="100" w:beforeAutospacing="1" w:after="100" w:afterAutospacing="1"/>
        <w:ind w:right="0"/>
      </w:pPr>
      <w:r w:rsidRPr="007E33ED">
        <w:t>If many disorders arise from perturbations of partially overlapping modules and if those perturbations are typically polygenic, then both modular connectivity and polygenic burden are intrinsic features of disease identity. Incorporating these descriptors would not replace traditional categories based on etiology, pathogenesis, or organ system, but would refine them by explaining why disease boundaries are often porous, why comorbidities are systematic rather than incidental, and why genetic prediction is necessarily probabilistic. In this view, nosology evolves from a set of static labels toward a representation of position in a multidimensional biological space—a natural maturation of classification in the genomic era.</w:t>
      </w:r>
      <w:r w:rsidRPr="007E33ED">
        <w:rPr>
          <w:rFonts w:ascii="Arial" w:hAnsi="Arial" w:cs="Arial"/>
          <w:vanish/>
          <w:sz w:val="16"/>
          <w:szCs w:val="16"/>
        </w:rPr>
        <w:t>Top of FormBottom of Form</w:t>
      </w:r>
    </w:p>
    <w:p w14:paraId="75D12AFC" w14:textId="77777777" w:rsidR="00BB558E" w:rsidRPr="007E33ED" w:rsidRDefault="00BB558E" w:rsidP="00BB558E">
      <w:pPr>
        <w:spacing w:before="100" w:beforeAutospacing="1" w:after="100" w:afterAutospacing="1"/>
        <w:ind w:right="0"/>
      </w:pPr>
      <w:r>
        <w:t>A useful way to see the added value of this framework is to note that although biological classifications rarely predict the existence of wholly new “entities” in the way physics classifications have predicted new particles, they can still be predictive in a statistical and mechanistic sense. A nosology that incorporates genetic architecture and network position does more than label disorders; it places quantitative constraints on what should be observable. For example, a disorder characterized as highly polygenic and strongly connected to particular gene modules carries advance expectations about the ceiling of genetic prediction, the likelihood and direction of comorbidity, the persistence of risk alleles under selection, and the kinds of pathways most likely to yield therapeutic leverage. These are forward-looking, testable expectations in independent samples. In that sense, genomic nosology functions not only as a descriptive scheme but as a framework that anticipates regularities in risk distribution, disease overlap, and intervention response—an appropriately probabilistic form of prediction for complex biological systems.</w:t>
      </w:r>
    </w:p>
    <w:p w14:paraId="746B0586" w14:textId="77777777" w:rsidR="00BB558E" w:rsidRPr="00726C3F" w:rsidRDefault="00BB558E" w:rsidP="00BB558E">
      <w:pPr>
        <w:autoSpaceDE w:val="0"/>
        <w:autoSpaceDN w:val="0"/>
        <w:adjustRightInd w:val="0"/>
        <w:ind w:right="0"/>
        <w:rPr>
          <w:b/>
          <w:bCs/>
        </w:rPr>
      </w:pPr>
      <w:r w:rsidRPr="00726C3F">
        <w:rPr>
          <w:b/>
          <w:bCs/>
        </w:rPr>
        <w:t>Success and Disappointment</w:t>
      </w:r>
    </w:p>
    <w:p w14:paraId="48BFC8CF" w14:textId="77777777" w:rsidR="00BB558E" w:rsidRDefault="00BB558E" w:rsidP="00BB558E">
      <w:pPr>
        <w:pStyle w:val="NormalWeb"/>
        <w:spacing w:before="0" w:beforeAutospacing="0" w:after="0" w:afterAutospacing="0"/>
        <w:ind w:right="0"/>
      </w:pPr>
      <w:r w:rsidRPr="00D94023">
        <w:t>The title "Success and Disappointment" captures the inherent tension of the scientific enterprise. While we often measure a project's "success" by the tangible technologies it yields, </w:t>
      </w:r>
      <w:r>
        <w:t>the primary driver of scientific inquiry is an organic human need to understand the universe—and the hope that such understanding can be transformed into technologies that improve the human condition. While that hope is often fulfilled, it is not guaranteed; occasionally, understanding increases even when the practical benefits fall far below expectations.</w:t>
      </w:r>
    </w:p>
    <w:p w14:paraId="00879308" w14:textId="77777777" w:rsidR="00BB558E" w:rsidRDefault="00BB558E" w:rsidP="00BB558E">
      <w:pPr>
        <w:pStyle w:val="NormalWeb"/>
        <w:ind w:right="0"/>
      </w:pPr>
      <w:r>
        <w:t xml:space="preserve">Many scientists—social, behavioral, and physical—would welcome an approach that followed the model of classical physics, where much is explained by a few simple laws and reasonable assumptions. That model has radically transformed the human condition for the better (side-effects notwithstanding) and the psychological drive to find a dominant allele to explain complex </w:t>
      </w:r>
      <w:r>
        <w:lastRenderedPageBreak/>
        <w:t xml:space="preserve">traits is closely aligned with it. However, although physics is one of humanity’s greatest intellectual triumphs, the idea of a simple ansatz from which deep insight emerges applies only to a very thin slice of the human condition, and the reality of common traits remains a stark reminder of that limitation. </w:t>
      </w:r>
    </w:p>
    <w:p w14:paraId="6C20479C" w14:textId="77777777" w:rsidR="00BB558E" w:rsidRDefault="00BB558E" w:rsidP="00BB558E">
      <w:pPr>
        <w:autoSpaceDE w:val="0"/>
        <w:autoSpaceDN w:val="0"/>
        <w:adjustRightInd w:val="0"/>
        <w:spacing w:before="100" w:after="100"/>
        <w:ind w:right="0"/>
      </w:pPr>
      <w:r>
        <w:t xml:space="preserve">Considering that the hype continues I believe that it is important to keep in mind that for any given individual genomics alone does not predict common diseases with high accuracy. Instead environmental, developmental, and stochastic factors appear to dominate individual outcomes. </w:t>
      </w:r>
    </w:p>
    <w:p w14:paraId="2D68243C" w14:textId="77777777" w:rsidR="00BB558E" w:rsidRPr="00384AF3" w:rsidRDefault="00BB558E" w:rsidP="00BB558E">
      <w:pPr>
        <w:spacing w:before="100" w:beforeAutospacing="1" w:after="100" w:afterAutospacing="1"/>
        <w:ind w:right="0"/>
      </w:pPr>
      <w:r>
        <w:t xml:space="preserve">With respect to drug development the HGP has clearly been a catalyst, </w:t>
      </w:r>
      <w:r w:rsidRPr="00384AF3">
        <w:t xml:space="preserve">but it </w:t>
      </w:r>
      <w:r>
        <w:t xml:space="preserve">has so fallen short </w:t>
      </w:r>
      <w:r w:rsidRPr="00384AF3">
        <w:t xml:space="preserve">of </w:t>
      </w:r>
      <w:r>
        <w:t xml:space="preserve">the </w:t>
      </w:r>
      <w:r w:rsidRPr="00384AF3">
        <w:t>early</w:t>
      </w:r>
      <w:r>
        <w:t xml:space="preserve"> </w:t>
      </w:r>
      <w:r w:rsidRPr="00384AF3">
        <w:t xml:space="preserve">expectation that sequencing the genome would rapidly reveal a large number of single, high-leverage, druggable causal genes for common diseases. Many important drugs have </w:t>
      </w:r>
      <w:r>
        <w:t>in fact</w:t>
      </w:r>
      <w:r w:rsidRPr="00384AF3">
        <w:t xml:space="preserve"> emerged in the post-HGP era, but most successes have come from a mix of incremental target refinement, pathway biology, serendipity, improved chemistry, and better trial design, rather than from a simple, linear path from gene discovery to therapy. For monogenic disorders and a subset of cancers, the gene-to-drug narrative work</w:t>
      </w:r>
      <w:r>
        <w:t>s</w:t>
      </w:r>
      <w:r w:rsidRPr="00384AF3">
        <w:t xml:space="preserve"> remarkably well; for most common diseases, it d</w:t>
      </w:r>
      <w:r>
        <w:t>oes</w:t>
      </w:r>
      <w:r w:rsidRPr="00384AF3">
        <w:t xml:space="preserve"> not scale as originally hoped.</w:t>
      </w:r>
    </w:p>
    <w:p w14:paraId="0F42DADB" w14:textId="77777777" w:rsidR="00BB558E" w:rsidRPr="00210616" w:rsidRDefault="00BB558E" w:rsidP="00BB558E">
      <w:pPr>
        <w:ind w:right="0"/>
        <w:rPr>
          <w:vertAlign w:val="subscript"/>
        </w:rPr>
      </w:pPr>
      <w:r>
        <w:t>Beyond that, u</w:t>
      </w:r>
      <w:r w:rsidRPr="00384AF3">
        <w:t xml:space="preserve">nanticipated polygenicity weakens the statistical and biological signal linking any single gene to disease, making it </w:t>
      </w:r>
      <w:r>
        <w:t>difficult</w:t>
      </w:r>
      <w:r w:rsidRPr="00384AF3">
        <w:t xml:space="preserve"> to identify targets whose perturbation </w:t>
      </w:r>
      <w:r>
        <w:t xml:space="preserve">would </w:t>
      </w:r>
      <w:r w:rsidRPr="00384AF3">
        <w:t>yield large, predictable therapeutic benefit. In effect, causal arrows became diffuse: GWAS loci often point to broad regulatory regions, multiple genes, or cell-type–specific contexts rather than clean, druggable nodes. That diffusion did not stop progress, but it forced a shift away from gene-centric expectations toward pathway-, network-, and system-level approaches, inevitably slowing the pace relative to the early, more reductionist hopes attached to the HGP.</w:t>
      </w:r>
      <w:r>
        <w:t xml:space="preserve"> Although this forced shift slowed progress it was in my view important—and the recognition that the cell must be looked at as a system should be considered a hallmark contribution of the </w:t>
      </w:r>
      <w:r w:rsidRPr="00210616">
        <w:t>HGP.</w:t>
      </w:r>
      <w:r w:rsidRPr="00210616">
        <w:rPr>
          <w:vanish/>
        </w:rPr>
        <w:t>Top of Form</w:t>
      </w:r>
    </w:p>
    <w:p w14:paraId="12D2BADC" w14:textId="77777777" w:rsidR="00BB558E" w:rsidRDefault="00BB558E" w:rsidP="00BB558E">
      <w:pPr>
        <w:ind w:right="0"/>
        <w:jc w:val="center"/>
      </w:pPr>
      <w:r w:rsidRPr="00210616">
        <w:rPr>
          <w:vanish/>
        </w:rPr>
        <w:t>Bottom of Form</w:t>
      </w:r>
    </w:p>
    <w:p w14:paraId="39573F59" w14:textId="77777777" w:rsidR="00BB558E" w:rsidRDefault="00BB558E" w:rsidP="00BB558E">
      <w:pPr>
        <w:autoSpaceDE w:val="0"/>
        <w:autoSpaceDN w:val="0"/>
        <w:adjustRightInd w:val="0"/>
        <w:spacing w:before="100" w:after="100"/>
        <w:ind w:right="-90"/>
      </w:pPr>
      <w:r w:rsidRPr="00824ED8">
        <w:t xml:space="preserve">So what can a reasonable critic conclude? Perhaps something like </w:t>
      </w:r>
      <w:r w:rsidRPr="00AA1334">
        <w:rPr>
          <w:i/>
          <w:iCs/>
        </w:rPr>
        <w:t>The Human Genome Project succeeded spectacularly as an infrastructure project, a measurement revolution, and a catalyst for new biological thinking, but it fell short of its own rhetoric</w:t>
      </w:r>
      <w:r w:rsidRPr="00824ED8">
        <w:t>. Since it did in fact produce a number of important clinical and scientific advances—and proved to be an economic bonanza—the final verdict might well have been overwhelmingly positive had it not been burdened, from the outset, by unrealistic expectations.</w:t>
      </w:r>
      <w:r>
        <w:t xml:space="preserve"> </w:t>
      </w:r>
      <w:r w:rsidRPr="000C524C">
        <w:t>In retrospect, the early rhetoric may have been less a scientific misjudgment than a political necessity: large public investments in infrastructure rarely proceed without the promise of rapid clinical return.</w:t>
      </w:r>
      <w:r>
        <w:rPr>
          <w:rFonts w:ascii="-webkit-standard" w:hAnsi="-webkit-standard"/>
          <w:color w:val="000000"/>
          <w:sz w:val="27"/>
          <w:szCs w:val="27"/>
        </w:rPr>
        <w:t xml:space="preserve"> </w:t>
      </w:r>
      <w:r>
        <w:t>Nevertheless.</w:t>
      </w:r>
      <w:r w:rsidRPr="000C524C">
        <w:t xml:space="preserve"> many of those making these claims—including myself—believed them at the time. The difficulty was not exaggeration so much as an incomplete understanding of genetic architecture, inherited from an era in which single-gene disorders had shaped expectations about what genomics could deliver.</w:t>
      </w:r>
      <w:r>
        <w:t xml:space="preserve"> The bottom line, however, is that it did deliver—and delivered in spades—on its most important goal: increased knowledge and understanding. It did not always provide what we hoped for, but the </w:t>
      </w:r>
      <w:r w:rsidRPr="006A7E5E">
        <w:t>U</w:t>
      </w:r>
      <w:r>
        <w:t>niverse is utterly indifferent to human hopes.</w:t>
      </w:r>
    </w:p>
    <w:p w14:paraId="6326005D" w14:textId="77777777" w:rsidR="00BB558E" w:rsidRDefault="00BB558E" w:rsidP="00BB558E">
      <w:pPr>
        <w:autoSpaceDE w:val="0"/>
        <w:autoSpaceDN w:val="0"/>
        <w:adjustRightInd w:val="0"/>
        <w:spacing w:before="100" w:after="100"/>
        <w:ind w:right="0"/>
      </w:pPr>
    </w:p>
    <w:p w14:paraId="43E8D11E" w14:textId="77777777" w:rsidR="00BB558E" w:rsidRDefault="00BB558E" w:rsidP="00BB558E">
      <w:pPr>
        <w:autoSpaceDE w:val="0"/>
        <w:autoSpaceDN w:val="0"/>
        <w:adjustRightInd w:val="0"/>
        <w:spacing w:before="100" w:after="100"/>
        <w:ind w:right="0"/>
      </w:pPr>
    </w:p>
    <w:p w14:paraId="55AB43DD" w14:textId="77777777" w:rsidR="00BB558E" w:rsidRDefault="00BB558E" w:rsidP="00BB558E">
      <w:pPr>
        <w:autoSpaceDE w:val="0"/>
        <w:autoSpaceDN w:val="0"/>
        <w:adjustRightInd w:val="0"/>
        <w:spacing w:before="100" w:after="100"/>
        <w:ind w:right="0"/>
      </w:pPr>
    </w:p>
    <w:p w14:paraId="26575891" w14:textId="77777777" w:rsidR="00BB558E" w:rsidRDefault="00BB558E" w:rsidP="00BB558E">
      <w:pPr>
        <w:autoSpaceDE w:val="0"/>
        <w:autoSpaceDN w:val="0"/>
        <w:adjustRightInd w:val="0"/>
        <w:spacing w:before="100" w:after="100"/>
        <w:ind w:right="0"/>
      </w:pPr>
    </w:p>
    <w:p w14:paraId="7FED8000" w14:textId="77777777" w:rsidR="00BB558E" w:rsidRDefault="00BB558E" w:rsidP="00BB558E">
      <w:pPr>
        <w:autoSpaceDE w:val="0"/>
        <w:autoSpaceDN w:val="0"/>
        <w:adjustRightInd w:val="0"/>
        <w:spacing w:before="100" w:after="100"/>
        <w:ind w:right="0"/>
      </w:pPr>
    </w:p>
    <w:p w14:paraId="63EF1436" w14:textId="77777777" w:rsidR="006D7E4F" w:rsidRDefault="006D7E4F" w:rsidP="006D7E4F">
      <w:pPr>
        <w:autoSpaceDE w:val="0"/>
        <w:autoSpaceDN w:val="0"/>
        <w:adjustRightInd w:val="0"/>
        <w:spacing w:before="100" w:after="100"/>
        <w:ind w:right="0"/>
      </w:pPr>
    </w:p>
    <w:p w14:paraId="65E746FD" w14:textId="77777777" w:rsidR="006D7E4F" w:rsidRDefault="006D7E4F" w:rsidP="006D7E4F">
      <w:pPr>
        <w:autoSpaceDE w:val="0"/>
        <w:autoSpaceDN w:val="0"/>
        <w:adjustRightInd w:val="0"/>
        <w:spacing w:before="100" w:after="100"/>
        <w:ind w:right="0"/>
      </w:pPr>
    </w:p>
    <w:p w14:paraId="410DAD99" w14:textId="77777777" w:rsidR="006D7E4F" w:rsidRPr="0029222A" w:rsidRDefault="006D7E4F" w:rsidP="006D7E4F">
      <w:pPr>
        <w:rPr>
          <w:sz w:val="28"/>
          <w:szCs w:val="28"/>
        </w:rPr>
      </w:pPr>
    </w:p>
    <w:p w14:paraId="1E600E29" w14:textId="77777777" w:rsidR="0032123E" w:rsidRDefault="0032123E" w:rsidP="0032123E">
      <w:pPr>
        <w:ind w:right="0"/>
        <w:rPr>
          <w:b/>
          <w:bCs/>
          <w:sz w:val="28"/>
          <w:szCs w:val="28"/>
        </w:rPr>
      </w:pPr>
    </w:p>
    <w:p w14:paraId="660BEC7F" w14:textId="5527D808" w:rsidR="0032123E" w:rsidRPr="00381C5F" w:rsidRDefault="0032123E" w:rsidP="0032123E">
      <w:pPr>
        <w:ind w:right="0"/>
        <w:rPr>
          <w:b/>
          <w:bCs/>
          <w:sz w:val="28"/>
          <w:szCs w:val="28"/>
        </w:rPr>
      </w:pPr>
      <w:r>
        <w:rPr>
          <w:b/>
          <w:bCs/>
          <w:sz w:val="28"/>
          <w:szCs w:val="28"/>
        </w:rPr>
        <w:t>References and Notes</w:t>
      </w:r>
    </w:p>
    <w:p w14:paraId="727CA76A" w14:textId="77777777" w:rsidR="0032123E" w:rsidRPr="00D672E0" w:rsidRDefault="0032123E" w:rsidP="0032123E">
      <w:pPr>
        <w:spacing w:before="120" w:after="120"/>
        <w:ind w:right="0"/>
        <w:rPr>
          <w:color w:val="0A0A0A"/>
        </w:rPr>
      </w:pPr>
      <w:r w:rsidRPr="003E0C40">
        <w:t>1 DeLisi, C  "</w:t>
      </w:r>
      <w:r w:rsidRPr="003E0C40">
        <w:rPr>
          <w:color w:val="0A0A0A"/>
        </w:rPr>
        <w:t xml:space="preserve">Overview of Human Genome Research",  </w:t>
      </w:r>
      <w:r w:rsidRPr="003E0C40">
        <w:rPr>
          <w:i/>
          <w:iCs/>
        </w:rPr>
        <w:t>Biotechnology and the Human Genome: Innovations and Impact</w:t>
      </w:r>
      <w:r w:rsidRPr="003E0C40">
        <w:t xml:space="preserve">,  </w:t>
      </w:r>
      <w:r w:rsidRPr="003E0C40">
        <w:rPr>
          <w:rStyle w:val="Strong"/>
          <w:color w:val="0A0A0A"/>
        </w:rPr>
        <w:t>A</w:t>
      </w:r>
      <w:r w:rsidRPr="0032123E">
        <w:rPr>
          <w:rStyle w:val="Strong"/>
          <w:b w:val="0"/>
          <w:bCs w:val="0"/>
          <w:color w:val="0A0A0A"/>
        </w:rPr>
        <w:t>. D. Woodhead</w:t>
      </w:r>
      <w:r w:rsidRPr="0032123E">
        <w:rPr>
          <w:rStyle w:val="apple-converted-space"/>
          <w:rFonts w:eastAsiaTheme="majorEastAsia"/>
          <w:b/>
          <w:bCs/>
          <w:color w:val="0A0A0A"/>
        </w:rPr>
        <w:t> </w:t>
      </w:r>
      <w:r w:rsidRPr="0032123E">
        <w:rPr>
          <w:b/>
          <w:bCs/>
          <w:color w:val="0A0A0A"/>
        </w:rPr>
        <w:t>and</w:t>
      </w:r>
      <w:r w:rsidRPr="0032123E">
        <w:rPr>
          <w:rStyle w:val="apple-converted-space"/>
          <w:rFonts w:eastAsiaTheme="majorEastAsia"/>
          <w:b/>
          <w:bCs/>
          <w:color w:val="0A0A0A"/>
        </w:rPr>
        <w:t> </w:t>
      </w:r>
      <w:r w:rsidRPr="0032123E">
        <w:rPr>
          <w:rStyle w:val="Strong"/>
          <w:b w:val="0"/>
          <w:bCs w:val="0"/>
          <w:color w:val="0A0A0A"/>
        </w:rPr>
        <w:t>B. J. Barnhart, editors,</w:t>
      </w:r>
      <w:r w:rsidRPr="0032123E">
        <w:rPr>
          <w:b/>
          <w:bCs/>
          <w:color w:val="0A0A0A"/>
        </w:rPr>
        <w:t xml:space="preserve"> </w:t>
      </w:r>
      <w:r w:rsidRPr="0032123E">
        <w:t>Springer Nature Link,</w:t>
      </w:r>
      <w:r w:rsidRPr="0032123E">
        <w:rPr>
          <w:b/>
          <w:bCs/>
        </w:rPr>
        <w:t xml:space="preserve"> </w:t>
      </w:r>
      <w:r w:rsidRPr="0032123E">
        <w:rPr>
          <w:rStyle w:val="Strong"/>
          <w:b w:val="0"/>
          <w:bCs w:val="0"/>
          <w:color w:val="0A0A0A"/>
        </w:rPr>
        <w:t>1988,  p</w:t>
      </w:r>
      <w:r w:rsidRPr="003E0C40">
        <w:t xml:space="preserve">p. 5-10. </w:t>
      </w:r>
    </w:p>
    <w:p w14:paraId="332F8133" w14:textId="77777777" w:rsidR="0032123E" w:rsidRPr="003E0C40" w:rsidRDefault="0032123E" w:rsidP="0032123E">
      <w:pPr>
        <w:spacing w:before="120" w:after="120"/>
        <w:ind w:right="0"/>
      </w:pPr>
      <w:r w:rsidRPr="003E0C40">
        <w:t>2 Celera is a company founded by J. Craig Ventor, which sequenced the human genome in parallel with the federal government's project.</w:t>
      </w:r>
    </w:p>
    <w:p w14:paraId="407C4663" w14:textId="77777777" w:rsidR="0032123E" w:rsidRPr="003E0C40" w:rsidRDefault="0032123E" w:rsidP="0032123E">
      <w:pPr>
        <w:autoSpaceDE w:val="0"/>
        <w:autoSpaceDN w:val="0"/>
        <w:adjustRightInd w:val="0"/>
        <w:spacing w:before="120" w:after="120"/>
        <w:ind w:right="0"/>
      </w:pPr>
      <w:r w:rsidRPr="003E0C40">
        <w:t>3 Although I was deeply embroiled in the HGP controversy, I didn't fully grasp the magnitude of the upheaval (</w:t>
      </w:r>
      <w:hyperlink r:id="rId8" w:history="1">
        <w:r w:rsidRPr="003E0C40">
          <w:rPr>
            <w:color w:val="00267E"/>
            <w:u w:val="single" w:color="00267E"/>
          </w:rPr>
          <w:t>55 individuals from 33 different academic institutions across the U.S. sent letters</w:t>
        </w:r>
      </w:hyperlink>
      <w:r w:rsidRPr="003E0C40">
        <w:t>). The initial storm of controversy notwithstanding, NIH now describes the HGP as "one of the most ambitious and important scientific endeavors in human history" (https://www.genome.gov/about-genomics/educational-resources/fact-sheets/human-</w:t>
      </w:r>
      <w:r w:rsidRPr="003E0C40">
        <w:tab/>
        <w:t>genome-project).</w:t>
      </w:r>
    </w:p>
    <w:p w14:paraId="7AA51B07" w14:textId="77777777" w:rsidR="0032123E" w:rsidRPr="003E0C40" w:rsidRDefault="0032123E" w:rsidP="0032123E">
      <w:pPr>
        <w:spacing w:before="120" w:after="120"/>
        <w:ind w:right="0"/>
        <w:rPr>
          <w:color w:val="222222"/>
          <w:shd w:val="clear" w:color="auto" w:fill="FFFFFF"/>
        </w:rPr>
      </w:pPr>
      <w:r w:rsidRPr="003E0C40">
        <w:t xml:space="preserve">4 Green, E., J A Watson and F S Collins, "Twenty Five Years of Big Biology" </w:t>
      </w:r>
      <w:r w:rsidRPr="003E0C40">
        <w:rPr>
          <w:i/>
          <w:iCs/>
          <w:color w:val="222222"/>
          <w:shd w:val="clear" w:color="auto" w:fill="FFFFFF"/>
        </w:rPr>
        <w:t>Nature</w:t>
      </w:r>
      <w:r w:rsidRPr="003E0C40">
        <w:rPr>
          <w:color w:val="222222"/>
          <w:shd w:val="clear" w:color="auto" w:fill="FFFFFF"/>
        </w:rPr>
        <w:t> 526, 29–31 (2015). https://doi.org/10.1038/526029a</w:t>
      </w:r>
    </w:p>
    <w:p w14:paraId="2B0ADE4B" w14:textId="77777777" w:rsidR="0032123E" w:rsidRPr="003E0C40" w:rsidRDefault="0032123E" w:rsidP="0032123E">
      <w:pPr>
        <w:autoSpaceDE w:val="0"/>
        <w:autoSpaceDN w:val="0"/>
        <w:adjustRightInd w:val="0"/>
        <w:spacing w:before="120" w:after="120"/>
        <w:ind w:right="0"/>
      </w:pPr>
      <w:r w:rsidRPr="003E0C40">
        <w:t xml:space="preserve">5 Galas, D, A Patrinos and C DeLisi, "Notes From a Revolution" </w:t>
      </w:r>
      <w:r w:rsidRPr="003E0C40">
        <w:rPr>
          <w:i/>
          <w:iCs/>
        </w:rPr>
        <w:t>Issues in Science and Technology</w:t>
      </w:r>
      <w:r w:rsidRPr="003E0C40">
        <w:t>. Spring, 57-62 (2017)</w:t>
      </w:r>
    </w:p>
    <w:p w14:paraId="5AFEBBBC" w14:textId="77777777" w:rsidR="0032123E" w:rsidRPr="003E0C40" w:rsidRDefault="0032123E" w:rsidP="0032123E">
      <w:pPr>
        <w:spacing w:before="120" w:after="120"/>
        <w:ind w:right="0"/>
      </w:pPr>
      <w:r w:rsidRPr="003E0C40">
        <w:t xml:space="preserve">6 Most biomedical scientists consider the NIH </w:t>
      </w:r>
      <w:r w:rsidRPr="003E0C40">
        <w:rPr>
          <w:i/>
          <w:iCs/>
        </w:rPr>
        <w:t xml:space="preserve">peer review </w:t>
      </w:r>
      <w:r w:rsidRPr="003E0C40">
        <w:t>system to be an effective and fair procedure for dispersing limited funds for investigator initiated hypothesis driven research. Proposals are reviewed by panels of experts chosen fr</w:t>
      </w:r>
      <w:r>
        <w:t>o</w:t>
      </w:r>
      <w:r w:rsidRPr="003E0C40">
        <w:t>m the biomedical community (peers) who evaluate one another based on well-established criteria. The chance of funding on the first submission can be as low as 10%. This is just one of several processes by which the federal government supports research and development.</w:t>
      </w:r>
    </w:p>
    <w:p w14:paraId="797508FD" w14:textId="77777777" w:rsidR="0032123E" w:rsidRDefault="0032123E" w:rsidP="0032123E">
      <w:pPr>
        <w:pStyle w:val="df3vjf"/>
        <w:shd w:val="clear" w:color="auto" w:fill="FFFFFF"/>
        <w:spacing w:before="120" w:beforeAutospacing="0" w:after="120" w:afterAutospacing="0"/>
      </w:pPr>
      <w:r w:rsidRPr="003E0C40">
        <w:t>7</w:t>
      </w:r>
      <w:r w:rsidRPr="003E0C40">
        <w:rPr>
          <w:color w:val="0A0A0A"/>
        </w:rPr>
        <w:t>. </w:t>
      </w:r>
      <w:r w:rsidRPr="003E0C40">
        <w:t xml:space="preserve">Linkage refers to the tendency of DNA markers that lie close together on a chromosome to be inherited together within families. In a linkage study, investigators track the co-inheritance of a disease and known genetic markers across multiple affected relatives. If a particular marker is transmitted along with the disease far more often than expected by chance, statistical analysis indicates that the disease-causing mutation lies near that marker. </w:t>
      </w:r>
      <w:r w:rsidRPr="00D672E0">
        <w:rPr>
          <w:color w:val="000000"/>
        </w:rPr>
        <w:t xml:space="preserve">During the formation of reproductive cells, chromosomes can exchange segments of DNA with each other — a process called recombination. This swapping tends to happen more often between gene locations that are far apart on a chromosome, and less often between those that are close together. As a result, scientists can use </w:t>
      </w:r>
      <w:r>
        <w:rPr>
          <w:color w:val="000000"/>
        </w:rPr>
        <w:t>the</w:t>
      </w:r>
      <w:r w:rsidRPr="00D672E0">
        <w:rPr>
          <w:color w:val="000000"/>
        </w:rPr>
        <w:t xml:space="preserve"> frequent recombination between two gene locations as a rough measure of </w:t>
      </w:r>
      <w:r>
        <w:rPr>
          <w:color w:val="000000"/>
        </w:rPr>
        <w:t>the distance between them</w:t>
      </w:r>
      <w:r w:rsidRPr="00890EE1">
        <w:t xml:space="preserve">. </w:t>
      </w:r>
    </w:p>
    <w:p w14:paraId="19E6CF1E" w14:textId="77777777" w:rsidR="0032123E" w:rsidRPr="003E0C40" w:rsidRDefault="0032123E" w:rsidP="0032123E">
      <w:pPr>
        <w:pStyle w:val="df3vjf"/>
        <w:shd w:val="clear" w:color="auto" w:fill="FFFFFF"/>
        <w:spacing w:before="120" w:beforeAutospacing="0" w:after="120" w:afterAutospacing="0"/>
        <w:rPr>
          <w:color w:val="0A0A0A"/>
        </w:rPr>
      </w:pPr>
      <w:r w:rsidRPr="00890EE1">
        <w:rPr>
          <w:color w:val="000000"/>
        </w:rPr>
        <w:t xml:space="preserve">In the late 1980s and early 1990s, linkage analysis could typically localize the gene responsible for a Mendelian (single-gene) disorder—one that follows clear patterns of inheritance within families—to a defined chromosomal interval. That interval was usually measured in </w:t>
      </w:r>
      <w:r w:rsidRPr="00890EE1">
        <w:rPr>
          <w:color w:val="000000"/>
        </w:rPr>
        <w:lastRenderedPageBreak/>
        <w:t>centimorgans, a unit of genetic distance based on how often recombination occurs between markers during meiosis rather than on physical length in base pairs.</w:t>
      </w:r>
      <w:r w:rsidRPr="00890EE1">
        <w:t>. A p</w:t>
      </w:r>
      <w:r w:rsidRPr="003E0C40">
        <w:t>hysical map, in contrast, is an ordered representation of overlapping DNA fragments aligned along the chromosome, with distances measured in base pairs rather than recombination units. Once linkage narrowed the search to a defined chromosomal interval, investigators turn</w:t>
      </w:r>
      <w:r>
        <w:t>ed</w:t>
      </w:r>
      <w:r w:rsidRPr="003E0C40">
        <w:t xml:space="preserve"> to the physical map, retrieve</w:t>
      </w:r>
      <w:r>
        <w:t>d</w:t>
      </w:r>
      <w:r w:rsidRPr="003E0C40">
        <w:t xml:space="preserve"> the corresponding cloned DNA fragments, and systematically identif</w:t>
      </w:r>
      <w:r>
        <w:t>ied</w:t>
      </w:r>
      <w:r w:rsidRPr="003E0C40">
        <w:t xml:space="preserve"> and sequence</w:t>
      </w:r>
      <w:r>
        <w:t>d</w:t>
      </w:r>
      <w:r w:rsidRPr="003E0C40">
        <w:t xml:space="preserve"> candidate genes within that region.</w:t>
      </w:r>
    </w:p>
    <w:p w14:paraId="46A47974" w14:textId="77777777" w:rsidR="0032123E" w:rsidRPr="003E0C40" w:rsidRDefault="0032123E" w:rsidP="0032123E">
      <w:pPr>
        <w:shd w:val="clear" w:color="auto" w:fill="FFFFFF"/>
        <w:spacing w:before="120" w:after="120"/>
        <w:ind w:right="0"/>
      </w:pPr>
      <w:r w:rsidRPr="003E0C40">
        <w:rPr>
          <w:color w:val="0A0A0A"/>
        </w:rPr>
        <w:t>In the case of PSEN1, researchers used these existing resources in 1995 to quickly pinpoint its location on chromosome 14, leading to its discovery as a primary cause of early-onset Alzheimer's</w:t>
      </w:r>
      <w:r>
        <w:rPr>
          <w:color w:val="0A0A0A"/>
        </w:rPr>
        <w:t xml:space="preserve"> disease</w:t>
      </w:r>
      <w:r w:rsidRPr="003E0C40">
        <w:rPr>
          <w:color w:val="0A0A0A"/>
        </w:rPr>
        <w:t>. </w:t>
      </w:r>
    </w:p>
    <w:p w14:paraId="2ED442E4" w14:textId="77777777" w:rsidR="0032123E" w:rsidRPr="003E0C40" w:rsidRDefault="0032123E" w:rsidP="0032123E">
      <w:pPr>
        <w:autoSpaceDE w:val="0"/>
        <w:autoSpaceDN w:val="0"/>
        <w:adjustRightInd w:val="0"/>
        <w:spacing w:before="120" w:after="120"/>
        <w:ind w:right="0"/>
      </w:pPr>
      <w:r>
        <w:t>8</w:t>
      </w:r>
      <w:r w:rsidRPr="003E0C40">
        <w:t xml:space="preserve"> Nicholas Wade </w:t>
      </w:r>
      <w:r w:rsidRPr="003E0C40">
        <w:rPr>
          <w:b/>
          <w:bCs/>
        </w:rPr>
        <w:t>"</w:t>
      </w:r>
      <w:hyperlink r:id="rId9" w:history="1">
        <w:r w:rsidRPr="003E0C40">
          <w:rPr>
            <w:color w:val="000000" w:themeColor="text1"/>
            <w:u w:val="single" w:color="0000FF"/>
          </w:rPr>
          <w:t>A Decade Later, Genetic Map Yields Few New Cures</w:t>
        </w:r>
      </w:hyperlink>
      <w:r w:rsidRPr="003E0C40">
        <w:rPr>
          <w:color w:val="000000" w:themeColor="text1"/>
        </w:rPr>
        <w:t xml:space="preserve">" </w:t>
      </w:r>
      <w:r w:rsidRPr="003E0C40">
        <w:t>New York Times June 12, 2010. This front-page article explores why the high expectations for immediate medical breakthroughs—specifically for common diseases like cancer and Alzheimer's—had not been met, noting that the genetic roots of most diseases proved far more complex than originally anticipated.</w:t>
      </w:r>
    </w:p>
    <w:p w14:paraId="2016DFF3" w14:textId="77777777" w:rsidR="0032123E" w:rsidRPr="003E0C40" w:rsidRDefault="0032123E" w:rsidP="0032123E">
      <w:pPr>
        <w:autoSpaceDE w:val="0"/>
        <w:autoSpaceDN w:val="0"/>
        <w:adjustRightInd w:val="0"/>
        <w:spacing w:before="120" w:after="120"/>
        <w:ind w:right="0"/>
      </w:pPr>
      <w:r w:rsidRPr="003E0C40">
        <w:t>Andrew Pollack</w:t>
      </w:r>
      <w:r w:rsidRPr="003E0C40">
        <w:rPr>
          <w:b/>
          <w:bCs/>
        </w:rPr>
        <w:t xml:space="preserve"> "</w:t>
      </w:r>
      <w:hyperlink r:id="rId10" w:history="1">
        <w:r w:rsidRPr="003E0C40">
          <w:rPr>
            <w:color w:val="000000" w:themeColor="text1"/>
            <w:u w:val="single" w:color="0000FF"/>
          </w:rPr>
          <w:t>Awaiting the Genome Payoff</w:t>
        </w:r>
      </w:hyperlink>
      <w:r w:rsidRPr="003E0C40">
        <w:rPr>
          <w:b/>
          <w:bCs/>
          <w:color w:val="000000" w:themeColor="text1"/>
        </w:rPr>
        <w:t>"</w:t>
      </w:r>
      <w:r w:rsidRPr="003E0C40">
        <w:rPr>
          <w:color w:val="000000" w:themeColor="text1"/>
        </w:rPr>
        <w:t xml:space="preserve"> </w:t>
      </w:r>
      <w:r w:rsidRPr="003E0C40">
        <w:t>New York Times June 14, 2010 (Online) June 15, 2010 (Print). This second installment focuses on the pharmaceutical industry's struggle with information overload, detailing how drug companies spent billions of dollars on genomic data but had yet to produce a substantial number of new, successful treatments. </w:t>
      </w:r>
    </w:p>
    <w:p w14:paraId="289A2CD1" w14:textId="77777777" w:rsidR="0032123E" w:rsidRPr="003E0C40" w:rsidRDefault="0032123E" w:rsidP="0032123E">
      <w:pPr>
        <w:autoSpaceDE w:val="0"/>
        <w:autoSpaceDN w:val="0"/>
        <w:adjustRightInd w:val="0"/>
        <w:spacing w:before="120" w:after="120"/>
        <w:ind w:right="0"/>
      </w:pPr>
      <w:r w:rsidRPr="003E0C40">
        <w:t>Following these reports, the </w:t>
      </w:r>
      <w:r w:rsidRPr="003E0C40">
        <w:rPr>
          <w:i/>
          <w:iCs/>
        </w:rPr>
        <w:t>Times</w:t>
      </w:r>
      <w:r w:rsidRPr="003E0C40">
        <w:t> editorial board published a summarizing opinion piece titled "The Genome, 10 Years Later" on June 20, 2010, which characterized the realization of the project's slow clinical progress as "sobering". </w:t>
      </w:r>
    </w:p>
    <w:p w14:paraId="3DB628F7" w14:textId="77777777" w:rsidR="0032123E" w:rsidRPr="003E0C40" w:rsidRDefault="0032123E" w:rsidP="0032123E">
      <w:pPr>
        <w:autoSpaceDE w:val="0"/>
        <w:autoSpaceDN w:val="0"/>
        <w:adjustRightInd w:val="0"/>
        <w:ind w:right="0"/>
        <w:rPr>
          <w:color w:val="0A0A0A"/>
        </w:rPr>
      </w:pPr>
      <w:r>
        <w:t>9</w:t>
      </w:r>
      <w:r w:rsidRPr="003E0C40">
        <w:t xml:space="preserve"> </w:t>
      </w:r>
      <w:r w:rsidRPr="003E0C40">
        <w:rPr>
          <w:color w:val="0A0A0A"/>
        </w:rPr>
        <w:t xml:space="preserve">Nair, P. </w:t>
      </w:r>
      <w:r>
        <w:rPr>
          <w:color w:val="0A0A0A"/>
        </w:rPr>
        <w:t>"</w:t>
      </w:r>
      <w:proofErr w:type="spellStart"/>
      <w:r w:rsidRPr="003E0C40">
        <w:rPr>
          <w:color w:val="0A0A0A"/>
        </w:rPr>
        <w:t>QnAs</w:t>
      </w:r>
      <w:proofErr w:type="spellEnd"/>
      <w:r w:rsidRPr="003E0C40">
        <w:rPr>
          <w:color w:val="0A0A0A"/>
        </w:rPr>
        <w:t xml:space="preserve"> with Leroy E. Hood</w:t>
      </w:r>
      <w:r>
        <w:rPr>
          <w:color w:val="0A0A0A"/>
        </w:rPr>
        <w:t>",</w:t>
      </w:r>
      <w:r w:rsidRPr="003E0C40">
        <w:rPr>
          <w:color w:val="0A0A0A"/>
        </w:rPr>
        <w:t> </w:t>
      </w:r>
      <w:hyperlink r:id="rId11" w:history="1">
        <w:r w:rsidRPr="003E0C40">
          <w:rPr>
            <w:i/>
            <w:iCs/>
            <w:color w:val="000000" w:themeColor="text1"/>
            <w:u w:val="single" w:color="0000FF"/>
          </w:rPr>
          <w:t xml:space="preserve"> (PNAS)</w:t>
        </w:r>
      </w:hyperlink>
      <w:r w:rsidRPr="003E0C40">
        <w:rPr>
          <w:color w:val="000000" w:themeColor="text1"/>
        </w:rPr>
        <w:t xml:space="preserve">, </w:t>
      </w:r>
      <w:r w:rsidRPr="003E0C40">
        <w:rPr>
          <w:color w:val="0A0A0A"/>
        </w:rPr>
        <w:t>108(23), 9325 (2011).</w:t>
      </w:r>
    </w:p>
    <w:p w14:paraId="104E59CF" w14:textId="77777777" w:rsidR="0032123E" w:rsidRPr="00871F70" w:rsidRDefault="0032123E" w:rsidP="0032123E">
      <w:pPr>
        <w:autoSpaceDE w:val="0"/>
        <w:autoSpaceDN w:val="0"/>
        <w:adjustRightInd w:val="0"/>
        <w:ind w:right="0"/>
        <w:rPr>
          <w:color w:val="0A0A0A"/>
        </w:rPr>
      </w:pPr>
      <w:r w:rsidRPr="003E0C40">
        <w:rPr>
          <w:color w:val="222222"/>
          <w:shd w:val="clear" w:color="auto" w:fill="FFFFFF"/>
        </w:rPr>
        <w:t>Lee Hood. </w:t>
      </w:r>
      <w:r w:rsidRPr="003E0C40">
        <w:rPr>
          <w:i/>
          <w:iCs/>
          <w:color w:val="222222"/>
          <w:shd w:val="clear" w:color="auto" w:fill="FFFFFF"/>
        </w:rPr>
        <w:t>Nat Biotechnol</w:t>
      </w:r>
      <w:r w:rsidRPr="003E0C40">
        <w:rPr>
          <w:color w:val="222222"/>
          <w:shd w:val="clear" w:color="auto" w:fill="FFFFFF"/>
        </w:rPr>
        <w:t> </w:t>
      </w:r>
      <w:r w:rsidRPr="003E0C40">
        <w:rPr>
          <w:b/>
          <w:bCs/>
          <w:color w:val="222222"/>
          <w:shd w:val="clear" w:color="auto" w:fill="FFFFFF"/>
        </w:rPr>
        <w:t>29</w:t>
      </w:r>
      <w:r w:rsidRPr="003E0C40">
        <w:rPr>
          <w:color w:val="222222"/>
          <w:shd w:val="clear" w:color="auto" w:fill="FFFFFF"/>
        </w:rPr>
        <w:t>, 191 (2011). https://doi.org/10.1038/nbt.1809</w:t>
      </w:r>
    </w:p>
    <w:p w14:paraId="28D81804" w14:textId="77777777" w:rsidR="0032123E" w:rsidRPr="003E0C40" w:rsidRDefault="0032123E" w:rsidP="0032123E">
      <w:pPr>
        <w:spacing w:before="120" w:after="120"/>
        <w:ind w:right="0"/>
      </w:pPr>
      <w:r>
        <w:t>10</w:t>
      </w:r>
      <w:r w:rsidRPr="003E0C40">
        <w:t xml:space="preserve"> Tripp, Simon and Martin Grueber, "Economic Impact of the Human Genome Project", Battelle Memorial Institute Technology Partnership Practice, May 2011.</w:t>
      </w:r>
    </w:p>
    <w:p w14:paraId="051E25AD" w14:textId="77777777" w:rsidR="0032123E" w:rsidRPr="003E0C40" w:rsidRDefault="0032123E" w:rsidP="0032123E">
      <w:pPr>
        <w:spacing w:before="120" w:after="120"/>
        <w:ind w:right="0"/>
      </w:pPr>
      <w:r w:rsidRPr="003E0C40">
        <w:t xml:space="preserve">To expand on this a bit, in a presentation to NIH leadership Tripp stated that in 2010 alone genomics related activities across all economic sectors generated more than $80 billion in revenue and more than 300,000 jobs </w:t>
      </w:r>
      <w:r w:rsidRPr="003E0C40">
        <w:rPr>
          <w:i/>
          <w:iCs/>
        </w:rPr>
        <w:t>https://osp.od.nih.gov/wpcontent/uploads/SMRB_Jan_2013_Tripp_Presentation.pdf</w:t>
      </w:r>
      <w:r>
        <w:rPr>
          <w:i/>
          <w:iCs/>
        </w:rPr>
        <w:t xml:space="preserve"> </w:t>
      </w:r>
    </w:p>
    <w:p w14:paraId="7098179D" w14:textId="77777777" w:rsidR="0032123E" w:rsidRPr="003E0C40" w:rsidRDefault="0032123E" w:rsidP="0032123E">
      <w:pPr>
        <w:autoSpaceDE w:val="0"/>
        <w:autoSpaceDN w:val="0"/>
        <w:adjustRightInd w:val="0"/>
        <w:spacing w:before="120" w:after="120"/>
        <w:ind w:right="0"/>
      </w:pPr>
      <w:r w:rsidRPr="003E0C40">
        <w:t>1</w:t>
      </w:r>
      <w:r>
        <w:t>1</w:t>
      </w:r>
      <w:r w:rsidRPr="003E0C40">
        <w:t xml:space="preserve"> Wadman, M. </w:t>
      </w:r>
      <w:r w:rsidRPr="003E0C40">
        <w:rPr>
          <w:i/>
          <w:iCs/>
        </w:rPr>
        <w:t>Nature</w:t>
      </w:r>
      <w:r w:rsidRPr="003E0C40">
        <w:t> </w:t>
      </w:r>
      <w:r w:rsidRPr="003E0C40">
        <w:rPr>
          <w:b/>
          <w:bCs/>
        </w:rPr>
        <w:t>499</w:t>
      </w:r>
      <w:r w:rsidRPr="003E0C40">
        <w:t>, (12 June 2013). </w:t>
      </w:r>
      <w:r w:rsidRPr="003E0C40">
        <w:rPr>
          <w:i/>
          <w:iCs/>
        </w:rPr>
        <w:t>Economic return from Human Genome Project grows</w:t>
      </w:r>
      <w:r w:rsidRPr="003E0C40">
        <w:t xml:space="preserve">. https://doi.org/10.1038/nature.2013.13187 This article reported on the updated Battelle study’s trillion-dollar estimate and included skepticism from economists such as </w:t>
      </w:r>
      <w:r>
        <w:t xml:space="preserve">the </w:t>
      </w:r>
      <w:r w:rsidRPr="003E0C40">
        <w:t>University of Chicago</w:t>
      </w:r>
      <w:r>
        <w:t>'s</w:t>
      </w:r>
      <w:r w:rsidRPr="003E0C40">
        <w:t xml:space="preserve"> Robert Topel, who questioned the validity of large multipliers and emphasized the importance of measured health and innovation outcomes rather than gross job counts. </w:t>
      </w:r>
    </w:p>
    <w:p w14:paraId="15CEE3F7" w14:textId="77777777" w:rsidR="0032123E" w:rsidRPr="00A77B5A" w:rsidRDefault="0032123E" w:rsidP="0032123E">
      <w:pPr>
        <w:pStyle w:val="font-claude-response-body"/>
      </w:pPr>
      <w:r w:rsidRPr="003E0C40">
        <w:t>1</w:t>
      </w:r>
      <w:r>
        <w:t>2</w:t>
      </w:r>
      <w:r w:rsidRPr="003E0C40">
        <w:t xml:space="preserve"> </w:t>
      </w:r>
      <w:r w:rsidRPr="00A77B5A">
        <w:rPr>
          <w:color w:val="000000"/>
        </w:rPr>
        <w:t xml:space="preserve">The Battelle conclusions are based on a standard input–output methodology. For the HGP, the model begins with a fixed amount of spending associated with sequencing and then applies conventional input–output techniques to estimate the gross effects of that spending — direct, indirect, and induced. The logic behind these layers is familiar: an initial dollar doesn't stop with its first recipient. It cascades outward </w:t>
      </w:r>
      <w:r>
        <w:rPr>
          <w:color w:val="000000"/>
        </w:rPr>
        <w:t>as recipients of that spending re-spend it, who then re-spend it again, and so on</w:t>
      </w:r>
      <w:r w:rsidRPr="00A77B5A">
        <w:rPr>
          <w:color w:val="000000"/>
        </w:rPr>
        <w:t xml:space="preserve"> like a stone dropped in water. The resulting multiplier — a single </w:t>
      </w:r>
      <w:r w:rsidRPr="00A77B5A">
        <w:rPr>
          <w:color w:val="000000"/>
        </w:rPr>
        <w:lastRenderedPageBreak/>
        <w:t>number capturing total cumulative impact relative to original spending — can be sizable, especially when induced household spending is included.</w:t>
      </w:r>
    </w:p>
    <w:p w14:paraId="3D0C2D02" w14:textId="77777777" w:rsidR="0032123E" w:rsidRPr="003E0C40" w:rsidRDefault="0032123E" w:rsidP="0032123E">
      <w:pPr>
        <w:pStyle w:val="NormalWeb"/>
        <w:spacing w:before="120" w:beforeAutospacing="0" w:after="120" w:afterAutospacing="0"/>
        <w:ind w:right="0"/>
      </w:pPr>
      <w:r w:rsidRPr="003E0C40">
        <w:t>Perhaps the largest source of uncertainty in input–output models is direct spending attribution: how much of the observed industry activity is truly attributable to the Human Genome Project or to genome sequencing more broadly? Such models are easily recognized by policymakers, easy to communicate, and comparable across industries. However, attribution choices can easily move totals by 20–50%, and the resulting numbers are model-dependent and optimistic by construction.</w:t>
      </w:r>
    </w:p>
    <w:p w14:paraId="17277AFF" w14:textId="77777777" w:rsidR="0032123E" w:rsidRPr="003E0C40" w:rsidRDefault="0032123E" w:rsidP="0032123E">
      <w:pPr>
        <w:pStyle w:val="NormalWeb"/>
        <w:spacing w:before="120" w:beforeAutospacing="0" w:after="120" w:afterAutospacing="0"/>
        <w:ind w:right="0"/>
      </w:pPr>
      <w:r w:rsidRPr="003E0C40">
        <w:t>A more fundamental limitation is that these models do not establish how much of the impact is causally attributable to federal HGP spending rather than to other inputs (private capital, venture investment, university research, technological spillovers, etc.). One way to address this question is to treat the HGP as an infrastructure platform investment—a framing that requires counterfactual econometric analysis.</w:t>
      </w:r>
    </w:p>
    <w:p w14:paraId="60A6573C" w14:textId="77777777" w:rsidR="0032123E" w:rsidRPr="003E0C40" w:rsidRDefault="0032123E" w:rsidP="0032123E">
      <w:pPr>
        <w:pStyle w:val="NormalWeb"/>
        <w:spacing w:before="120" w:beforeAutospacing="0" w:after="120" w:afterAutospacing="0"/>
        <w:ind w:right="0"/>
      </w:pPr>
      <w:r w:rsidRPr="003E0C40">
        <w:t>Infrastructure framing asserts that the HGP altered the path of technological development by accelerating private innovation and affecting long-run productivity. It built shared scientific, technological, and institutional capacity (reference genomes, mapping tools, data standards, sequencing technologies, trained personnel) that enabled entirely new industries and applications to emerge over time. In this view, the HGP was not merely injecting dollars into a sector; it was lowering entry barriers, reducing uncertainty, and expanding the feasible set of private innovation. Such claims cannot be evaluated without asking what the economic landscape would have looked like in the absence of the HGP.</w:t>
      </w:r>
    </w:p>
    <w:p w14:paraId="686D8764" w14:textId="77777777" w:rsidR="0032123E" w:rsidRPr="003E0C40" w:rsidRDefault="0032123E" w:rsidP="0032123E">
      <w:pPr>
        <w:pStyle w:val="NormalWeb"/>
        <w:spacing w:before="120" w:beforeAutospacing="0" w:after="120" w:afterAutospacing="0"/>
        <w:ind w:right="0"/>
      </w:pPr>
      <w:r w:rsidRPr="003E0C40">
        <w:t>For example, one might estimate the value of biotechnology R&amp;D using cross-country comparisons, variation in state-level NIH funding, or instrumental variables (e.g., political funding shocks), among other approaches. To my knowledge, formal counterfactual analyses of this type have not been published, but they would be highly worthwhile, as they would provide a different—and potentially more defensible—set of claims about the economic consequences of the HGP.</w:t>
      </w:r>
    </w:p>
    <w:p w14:paraId="4CEFE510" w14:textId="77777777" w:rsidR="0032123E" w:rsidRPr="003E0C40" w:rsidRDefault="0032123E" w:rsidP="0032123E">
      <w:pPr>
        <w:autoSpaceDE w:val="0"/>
        <w:autoSpaceDN w:val="0"/>
        <w:adjustRightInd w:val="0"/>
        <w:ind w:right="0"/>
        <w:rPr>
          <w:color w:val="5B616B"/>
        </w:rPr>
      </w:pPr>
      <w:r w:rsidRPr="003E0C40">
        <w:t>1</w:t>
      </w:r>
      <w:r>
        <w:t>3</w:t>
      </w:r>
      <w:r w:rsidRPr="003E0C40">
        <w:t xml:space="preserve"> Hanahan D., and R A Weinberg</w:t>
      </w:r>
      <w:r w:rsidRPr="003E0C40">
        <w:rPr>
          <w:color w:val="212121"/>
        </w:rPr>
        <w:t xml:space="preserve"> "Hallmarks of Cancer</w:t>
      </w:r>
      <w:r w:rsidRPr="003E0C40">
        <w:rPr>
          <w:color w:val="5B616B"/>
        </w:rPr>
        <w:t xml:space="preserve">", </w:t>
      </w:r>
      <w:r w:rsidRPr="003E0C40">
        <w:rPr>
          <w:color w:val="0071BC"/>
        </w:rPr>
        <w:t> </w:t>
      </w:r>
      <w:r w:rsidRPr="003E0C40">
        <w:rPr>
          <w:i/>
          <w:iCs/>
          <w:color w:val="000000" w:themeColor="text1"/>
        </w:rPr>
        <w:t>Cell</w:t>
      </w:r>
      <w:r w:rsidRPr="003E0C40">
        <w:rPr>
          <w:color w:val="000000" w:themeColor="text1"/>
        </w:rPr>
        <w:t xml:space="preserve"> </w:t>
      </w:r>
      <w:r w:rsidRPr="003E0C40">
        <w:rPr>
          <w:color w:val="5B616B"/>
        </w:rPr>
        <w:t>100(1): Jan 7, 2000 57-70.</w:t>
      </w:r>
    </w:p>
    <w:p w14:paraId="2A337992" w14:textId="77777777" w:rsidR="0032123E" w:rsidRDefault="0032123E" w:rsidP="0032123E">
      <w:pPr>
        <w:autoSpaceDE w:val="0"/>
        <w:autoSpaceDN w:val="0"/>
        <w:adjustRightInd w:val="0"/>
        <w:ind w:right="0"/>
        <w:rPr>
          <w:color w:val="5B616B"/>
        </w:rPr>
      </w:pPr>
      <w:r w:rsidRPr="003E0C40">
        <w:rPr>
          <w:color w:val="5B616B"/>
        </w:rPr>
        <w:t>"</w:t>
      </w:r>
      <w:r w:rsidRPr="003E0C40">
        <w:t xml:space="preserve">Hallmarks of Cancer: The Next Generation"  </w:t>
      </w:r>
      <w:r w:rsidRPr="003E0C40">
        <w:rPr>
          <w:i/>
          <w:iCs/>
        </w:rPr>
        <w:t>Cell</w:t>
      </w:r>
      <w:r w:rsidRPr="003E0C40">
        <w:t>, 144(5), 646–674</w:t>
      </w:r>
      <w:r>
        <w:t xml:space="preserve">, </w:t>
      </w:r>
      <w:r w:rsidRPr="003E0C40">
        <w:t>2011</w:t>
      </w:r>
      <w:r>
        <w:t>,</w:t>
      </w:r>
      <w:r w:rsidRPr="00FD64DA">
        <w:rPr>
          <w:color w:val="5B616B"/>
        </w:rPr>
        <w:t xml:space="preserve"> </w:t>
      </w:r>
      <w:proofErr w:type="spellStart"/>
      <w:r w:rsidRPr="003E0C40">
        <w:rPr>
          <w:color w:val="5B616B"/>
        </w:rPr>
        <w:t>doi</w:t>
      </w:r>
      <w:proofErr w:type="spellEnd"/>
      <w:r w:rsidRPr="003E0C40">
        <w:rPr>
          <w:color w:val="5B616B"/>
        </w:rPr>
        <w:t>: 10.1016/s0092-8674(00)81683-9</w:t>
      </w:r>
    </w:p>
    <w:p w14:paraId="13CB98F4" w14:textId="77777777" w:rsidR="0032123E" w:rsidRPr="003E0C40" w:rsidRDefault="0032123E" w:rsidP="0032123E">
      <w:pPr>
        <w:autoSpaceDE w:val="0"/>
        <w:autoSpaceDN w:val="0"/>
        <w:adjustRightInd w:val="0"/>
        <w:ind w:right="0"/>
      </w:pPr>
    </w:p>
    <w:p w14:paraId="04B783FD" w14:textId="77777777" w:rsidR="0032123E" w:rsidRPr="000C3160" w:rsidRDefault="0032123E" w:rsidP="0032123E">
      <w:pPr>
        <w:ind w:right="0"/>
        <w:rPr>
          <w:caps/>
          <w:color w:val="262626"/>
          <w:spacing w:val="10"/>
        </w:rPr>
      </w:pPr>
      <w:r w:rsidRPr="00FD64DA">
        <w:t xml:space="preserve">14 </w:t>
      </w:r>
      <w:r>
        <w:t>Remarkably, Renato Dulbecco's extraordinary1986 Science paper (</w:t>
      </w:r>
      <w:r w:rsidRPr="00FD64DA">
        <w:rPr>
          <w:color w:val="000000"/>
        </w:rPr>
        <w:t>"A Turning Point in Cancer Research: Sequencing the Human Genome."</w:t>
      </w:r>
      <w:r w:rsidRPr="00FD64DA">
        <w:rPr>
          <w:rStyle w:val="apple-converted-space"/>
          <w:color w:val="000000"/>
        </w:rPr>
        <w:t> </w:t>
      </w:r>
      <w:r w:rsidRPr="00FD64DA">
        <w:rPr>
          <w:rStyle w:val="Emphasis"/>
          <w:rFonts w:eastAsiaTheme="majorEastAsia"/>
          <w:color w:val="000000"/>
        </w:rPr>
        <w:t>Science</w:t>
      </w:r>
      <w:r w:rsidRPr="00FD64DA">
        <w:rPr>
          <w:color w:val="000000"/>
        </w:rPr>
        <w:t>, 231</w:t>
      </w:r>
      <w:r>
        <w:rPr>
          <w:color w:val="000000"/>
        </w:rPr>
        <w:t xml:space="preserve"> </w:t>
      </w:r>
      <w:r w:rsidRPr="00FD64DA">
        <w:rPr>
          <w:color w:val="000000"/>
        </w:rPr>
        <w:t>(4742</w:t>
      </w:r>
      <w:r>
        <w:rPr>
          <w:color w:val="000000"/>
        </w:rPr>
        <w:t>)</w:t>
      </w:r>
      <w:r w:rsidRPr="00FD64DA">
        <w:rPr>
          <w:color w:val="000000"/>
        </w:rPr>
        <w:t>, 1055–1056. 1986.  DOI: 10.1126/science.3945817</w:t>
      </w:r>
      <w:r>
        <w:t>)</w:t>
      </w:r>
      <w:r>
        <w:rPr>
          <w:caps/>
          <w:color w:val="262626"/>
          <w:spacing w:val="10"/>
        </w:rPr>
        <w:t xml:space="preserve">  </w:t>
      </w:r>
      <w:r>
        <w:t xml:space="preserve">recognized that a human genome reference sequence would be invaluable to developing an understanding the cancer cell a quarter century before one of the world's most distinguished cancer researchers.  </w:t>
      </w:r>
    </w:p>
    <w:p w14:paraId="0F4F2EFF" w14:textId="77777777" w:rsidR="0032123E" w:rsidRPr="003E0C40" w:rsidRDefault="0032123E" w:rsidP="0032123E">
      <w:pPr>
        <w:spacing w:before="120" w:after="120"/>
        <w:ind w:right="0"/>
      </w:pPr>
      <w:r w:rsidRPr="003E0C40">
        <w:t>1</w:t>
      </w:r>
      <w:r>
        <w:t>5</w:t>
      </w:r>
      <w:r w:rsidRPr="003E0C40">
        <w:t xml:space="preserve"> </w:t>
      </w:r>
      <w:r w:rsidRPr="003E0C40">
        <w:rPr>
          <w:i/>
          <w:iCs/>
        </w:rPr>
        <w:t>The Cancer Genome Atlas (TCGA)</w:t>
      </w:r>
      <w:r w:rsidRPr="003E0C40">
        <w:t xml:space="preserve"> provides a molecular characterization over 20,000 primary cancer</w:t>
      </w:r>
      <w:r>
        <w:t>s</w:t>
      </w:r>
      <w:r w:rsidRPr="003E0C40">
        <w:t xml:space="preserve"> and matched normal samples across 33 different cancer types. This includes identification of various types of mutations in DNA; of significantly over or under expressed RNA; of chemical modifications; of protein levels and of various metabolite levels. It plays a major role in improving the diagnosis, treatment, and prevention of cancer.</w:t>
      </w:r>
    </w:p>
    <w:p w14:paraId="6BCA94F2" w14:textId="77777777" w:rsidR="0032123E" w:rsidRPr="003E0C40" w:rsidRDefault="0032123E" w:rsidP="0032123E">
      <w:pPr>
        <w:pStyle w:val="NormalWeb"/>
        <w:spacing w:before="120" w:beforeAutospacing="0" w:after="120" w:afterAutospacing="0"/>
        <w:ind w:right="0"/>
      </w:pPr>
      <w:r w:rsidRPr="003E0C40">
        <w:lastRenderedPageBreak/>
        <w:t>1</w:t>
      </w:r>
      <w:r>
        <w:t>6</w:t>
      </w:r>
      <w:r w:rsidRPr="003E0C40">
        <w:t xml:space="preserve"> A </w:t>
      </w:r>
      <w:r w:rsidRPr="003E0C40">
        <w:rPr>
          <w:i/>
          <w:iCs/>
        </w:rPr>
        <w:t>cancer driver gene</w:t>
      </w:r>
      <w:r w:rsidRPr="003E0C40">
        <w:t xml:space="preserve"> contains mutations that provide a selective growth advantage to a cell, directly promoting the development and progression of cancer. The large majority of mutations are not drivers, but passengers—neutral or incidental alterations that go along for the ride.</w:t>
      </w:r>
    </w:p>
    <w:p w14:paraId="55C0FD7A" w14:textId="77777777" w:rsidR="0032123E" w:rsidRPr="003E0C40" w:rsidRDefault="0032123E" w:rsidP="0032123E">
      <w:pPr>
        <w:autoSpaceDE w:val="0"/>
        <w:autoSpaceDN w:val="0"/>
        <w:adjustRightInd w:val="0"/>
        <w:spacing w:before="120" w:after="120"/>
        <w:ind w:right="0"/>
        <w:rPr>
          <w:color w:val="222222"/>
          <w:shd w:val="clear" w:color="auto" w:fill="FFFFFF"/>
        </w:rPr>
      </w:pPr>
      <w:r w:rsidRPr="003E0C40">
        <w:t>1</w:t>
      </w:r>
      <w:r>
        <w:t>7</w:t>
      </w:r>
      <w:r w:rsidRPr="003E0C40">
        <w:t xml:space="preserve"> </w:t>
      </w:r>
      <w:r w:rsidRPr="003E0C40">
        <w:rPr>
          <w:color w:val="222222"/>
          <w:shd w:val="clear" w:color="auto" w:fill="FFFFFF"/>
        </w:rPr>
        <w:t xml:space="preserve">Chin, L.,  J. Andersen, &amp; P. </w:t>
      </w:r>
      <w:proofErr w:type="spellStart"/>
      <w:r w:rsidRPr="003E0C40">
        <w:rPr>
          <w:color w:val="222222"/>
          <w:shd w:val="clear" w:color="auto" w:fill="FFFFFF"/>
        </w:rPr>
        <w:t>Futreal</w:t>
      </w:r>
      <w:proofErr w:type="spellEnd"/>
      <w:r w:rsidRPr="003E0C40">
        <w:rPr>
          <w:color w:val="222222"/>
          <w:shd w:val="clear" w:color="auto" w:fill="FFFFFF"/>
        </w:rPr>
        <w:t>, "Cancer Genomics: From Discovery Science to Personalized Medicine." </w:t>
      </w:r>
      <w:r w:rsidRPr="003E0C40">
        <w:rPr>
          <w:i/>
          <w:iCs/>
          <w:color w:val="222222"/>
          <w:shd w:val="clear" w:color="auto" w:fill="FFFFFF"/>
        </w:rPr>
        <w:t>Nat Med</w:t>
      </w:r>
      <w:r w:rsidRPr="003E0C40">
        <w:rPr>
          <w:color w:val="222222"/>
          <w:shd w:val="clear" w:color="auto" w:fill="FFFFFF"/>
        </w:rPr>
        <w:t> </w:t>
      </w:r>
      <w:r w:rsidRPr="003E0C40">
        <w:rPr>
          <w:b/>
          <w:bCs/>
          <w:color w:val="222222"/>
          <w:shd w:val="clear" w:color="auto" w:fill="FFFFFF"/>
        </w:rPr>
        <w:t>17</w:t>
      </w:r>
      <w:r w:rsidRPr="003E0C40">
        <w:rPr>
          <w:color w:val="222222"/>
          <w:shd w:val="clear" w:color="auto" w:fill="FFFFFF"/>
        </w:rPr>
        <w:t>, 297–303 (2011) https://doi.org/10.1038/nm.2323</w:t>
      </w:r>
    </w:p>
    <w:p w14:paraId="67C90B02" w14:textId="77777777" w:rsidR="0032123E" w:rsidRPr="003E0C40" w:rsidRDefault="0032123E" w:rsidP="0032123E">
      <w:pPr>
        <w:autoSpaceDE w:val="0"/>
        <w:autoSpaceDN w:val="0"/>
        <w:adjustRightInd w:val="0"/>
        <w:spacing w:before="120" w:after="120"/>
        <w:ind w:right="0"/>
      </w:pPr>
      <w:r w:rsidRPr="003E0C40">
        <w:t>1</w:t>
      </w:r>
      <w:r>
        <w:t>8</w:t>
      </w:r>
      <w:r w:rsidRPr="003E0C40">
        <w:t xml:space="preserve"> The contracted translational time assumes even greater importance when viewed in the context of Gleevec's effectiveness—the lifetime of Gleevec treated CML patients approximates that of the general population, while GIST patients have a 4-fold increase in survival. </w:t>
      </w:r>
    </w:p>
    <w:p w14:paraId="26B835D4" w14:textId="77777777" w:rsidR="0032123E" w:rsidRPr="003E0C40" w:rsidRDefault="0032123E" w:rsidP="0032123E">
      <w:pPr>
        <w:autoSpaceDE w:val="0"/>
        <w:autoSpaceDN w:val="0"/>
        <w:adjustRightInd w:val="0"/>
        <w:spacing w:before="120" w:after="120"/>
        <w:ind w:right="0"/>
      </w:pPr>
      <w:r>
        <w:t>19 Jessica Wapner in The Philadelphia Chromosome (published by The Experiment in 2013) tells a fascinating story of a serendipitous discovery whose implications for chronic myeloid leukemia went unnoticed for three decades.</w:t>
      </w:r>
    </w:p>
    <w:p w14:paraId="03F5C14A" w14:textId="77777777" w:rsidR="0032123E" w:rsidRPr="003E0C40" w:rsidRDefault="0032123E" w:rsidP="0032123E">
      <w:pPr>
        <w:autoSpaceDE w:val="0"/>
        <w:autoSpaceDN w:val="0"/>
        <w:adjustRightInd w:val="0"/>
        <w:spacing w:before="120" w:after="120"/>
        <w:ind w:right="0"/>
      </w:pPr>
      <w:r>
        <w:t>20 T</w:t>
      </w:r>
      <w:r w:rsidRPr="003E0C40">
        <w:t xml:space="preserve">he process by which </w:t>
      </w:r>
      <w:r w:rsidRPr="003E0C40">
        <w:rPr>
          <w:i/>
          <w:iCs/>
        </w:rPr>
        <w:t>Crizotinib</w:t>
      </w:r>
      <w:r w:rsidRPr="003E0C40">
        <w:t xml:space="preserve"> was approved</w:t>
      </w:r>
      <w:r w:rsidRPr="003E0C40">
        <w:rPr>
          <w:i/>
          <w:iCs/>
        </w:rPr>
        <w:t xml:space="preserve"> </w:t>
      </w:r>
      <w:r w:rsidRPr="003E0C40">
        <w:t>not only enabled one of the fastest translational successes in the history of oncology,</w:t>
      </w:r>
      <w:r w:rsidRPr="003E0C40">
        <w:rPr>
          <w:b/>
          <w:bCs/>
        </w:rPr>
        <w:t xml:space="preserve"> </w:t>
      </w:r>
      <w:r w:rsidRPr="003E0C40">
        <w:t>it established a new development template: rare genomic driver → dramatic response → small, fast trials → accelerated approval, providing</w:t>
      </w:r>
      <w:r w:rsidRPr="003E0C40">
        <w:rPr>
          <w:b/>
          <w:bCs/>
        </w:rPr>
        <w:t xml:space="preserve"> </w:t>
      </w:r>
      <w:r w:rsidRPr="003E0C40">
        <w:t xml:space="preserve">proof of principle that cancer could be subdivided molecularly and treated accordingly. </w:t>
      </w:r>
    </w:p>
    <w:p w14:paraId="0604DB00" w14:textId="77777777" w:rsidR="0032123E" w:rsidRPr="003E0C40" w:rsidRDefault="0032123E" w:rsidP="0032123E">
      <w:pPr>
        <w:autoSpaceDE w:val="0"/>
        <w:autoSpaceDN w:val="0"/>
        <w:adjustRightInd w:val="0"/>
        <w:spacing w:before="120" w:after="120"/>
        <w:ind w:right="0"/>
      </w:pPr>
      <w:r>
        <w:t>21</w:t>
      </w:r>
      <w:r w:rsidRPr="003E0C40">
        <w:t xml:space="preserve"> The vemurafenib story underscores the importance of distinguishing speed of translation from durability of benefit. Nevertheless, even when rapidly developed drugs are only marginally effective, the reduced cost and time per candidate enable many more therapies to be tested, increasing the likelihood of identifying truly effective treatments more quickly.</w:t>
      </w:r>
    </w:p>
    <w:p w14:paraId="03523B70" w14:textId="77777777" w:rsidR="0032123E" w:rsidRPr="003E0C40" w:rsidRDefault="0032123E" w:rsidP="0032123E">
      <w:pPr>
        <w:spacing w:before="120" w:after="120"/>
        <w:ind w:right="0"/>
      </w:pPr>
      <w:r>
        <w:t>22</w:t>
      </w:r>
      <w:r w:rsidRPr="003E0C40">
        <w:t xml:space="preserve"> T cells, a component of the cell-mediated arm of the adaptive immune system, respond specifically to cells displaying foreign antigens on their surfaces—unlike the B cells of the "humoral" arm, which mature in the bone marrow and secrete antibodies into body fluids. T cells begin as hematopoietic stem cells in the bone marrow and migrate to the thymus (hence their name) where they learn to distinguish self from non-self.</w:t>
      </w:r>
    </w:p>
    <w:p w14:paraId="04BEE027" w14:textId="77777777" w:rsidR="0032123E" w:rsidRPr="003E0C40" w:rsidRDefault="0032123E" w:rsidP="0032123E">
      <w:pPr>
        <w:autoSpaceDE w:val="0"/>
        <w:autoSpaceDN w:val="0"/>
        <w:adjustRightInd w:val="0"/>
        <w:spacing w:before="120" w:after="120"/>
        <w:ind w:right="0"/>
      </w:pPr>
      <w:r>
        <w:t>23</w:t>
      </w:r>
      <w:r w:rsidRPr="003E0C40">
        <w:t xml:space="preserve"> Chen, L, &amp; Flies, D. B. "Molecular mechanisms of T cell co-stimulation and co-inhibition" </w:t>
      </w:r>
      <w:r w:rsidRPr="003E0C40">
        <w:rPr>
          <w:i/>
          <w:iCs/>
        </w:rPr>
        <w:t>Nature</w:t>
      </w:r>
      <w:r w:rsidRPr="003E0C40">
        <w:t xml:space="preserve"> </w:t>
      </w:r>
      <w:r w:rsidRPr="003E0C40">
        <w:rPr>
          <w:i/>
          <w:iCs/>
        </w:rPr>
        <w:t>Reviews Immunology,</w:t>
      </w:r>
      <w:r w:rsidRPr="003E0C40">
        <w:t xml:space="preserve"> 13(4), 227–242. (2013) doi:10.1038/nri3405.</w:t>
      </w:r>
    </w:p>
    <w:p w14:paraId="29A9EEF2" w14:textId="77777777" w:rsidR="0032123E" w:rsidRPr="003E0C40" w:rsidRDefault="0032123E" w:rsidP="0032123E">
      <w:pPr>
        <w:autoSpaceDE w:val="0"/>
        <w:autoSpaceDN w:val="0"/>
        <w:adjustRightInd w:val="0"/>
        <w:spacing w:before="120" w:after="120"/>
        <w:ind w:right="0"/>
      </w:pPr>
      <w:r>
        <w:t>24</w:t>
      </w:r>
      <w:r w:rsidRPr="003E0C40">
        <w:t xml:space="preserve"> Sharpe, A. H., &amp; G. J. Freeman, "The B7–CD28 superfamily"</w:t>
      </w:r>
      <w:r w:rsidRPr="003E0C40">
        <w:rPr>
          <w:i/>
          <w:iCs/>
        </w:rPr>
        <w:t xml:space="preserve"> Nature Reviews Immunology</w:t>
      </w:r>
      <w:r w:rsidRPr="003E0C40">
        <w:t>, 2(2), 116–126 (2002). doi:10.1038/nri727.</w:t>
      </w:r>
    </w:p>
    <w:p w14:paraId="77407BEA" w14:textId="77777777" w:rsidR="0032123E" w:rsidRPr="002775FB" w:rsidRDefault="0032123E" w:rsidP="0032123E">
      <w:pPr>
        <w:spacing w:before="120" w:after="120"/>
        <w:ind w:right="0"/>
        <w:rPr>
          <w:b/>
          <w:bCs/>
        </w:rPr>
      </w:pPr>
      <w:r>
        <w:rPr>
          <w:color w:val="0A0A0A"/>
          <w:shd w:val="clear" w:color="auto" w:fill="F0F2F5"/>
        </w:rPr>
        <w:t>25</w:t>
      </w:r>
      <w:r w:rsidRPr="003E0C40">
        <w:rPr>
          <w:color w:val="0A0A0A"/>
          <w:shd w:val="clear" w:color="auto" w:fill="F0F2F5"/>
        </w:rPr>
        <w:t xml:space="preserve"> The</w:t>
      </w:r>
      <w:r w:rsidRPr="003E0C40">
        <w:t xml:space="preserve"> </w:t>
      </w:r>
      <w:r w:rsidRPr="002775FB">
        <w:t xml:space="preserve">germline genome is </w:t>
      </w:r>
      <w:r w:rsidRPr="003E0C40">
        <w:t>the DNA sequence that is present in every cell of a particular individual. This is in contrast to somatic DNA and its mutations, which occur in differentiated cells in which only a fraction of the genome, specific to a particular cell type, such as a lung cell or a liver cell, is transcribed to RNA</w:t>
      </w:r>
      <w:r w:rsidRPr="00C250A4">
        <w:rPr>
          <w:b/>
          <w:bCs/>
        </w:rPr>
        <w:t xml:space="preserve">. </w:t>
      </w:r>
    </w:p>
    <w:p w14:paraId="7FDEB1EF" w14:textId="77777777" w:rsidR="0032123E" w:rsidRPr="003E0C40" w:rsidRDefault="0032123E" w:rsidP="0032123E">
      <w:pPr>
        <w:autoSpaceDE w:val="0"/>
        <w:autoSpaceDN w:val="0"/>
        <w:adjustRightInd w:val="0"/>
        <w:spacing w:before="120" w:after="120"/>
        <w:ind w:right="0"/>
        <w:rPr>
          <w:bCs/>
        </w:rPr>
      </w:pPr>
      <w:r w:rsidRPr="003E0C40">
        <w:t>2</w:t>
      </w:r>
      <w:r>
        <w:t>6</w:t>
      </w:r>
      <w:r w:rsidRPr="003E0C40">
        <w:t xml:space="preserve"> The impact of </w:t>
      </w:r>
      <w:r w:rsidRPr="003E0C40">
        <w:rPr>
          <w:bCs/>
          <w:i/>
          <w:iCs/>
        </w:rPr>
        <w:t>pharmacogenomics</w:t>
      </w:r>
      <w:r w:rsidRPr="003E0C40">
        <w:t xml:space="preserve"> (PGx) has moved far beyond theoretical progress and is now a cornerstone of precision medicine. Two examples are </w:t>
      </w:r>
      <w:r w:rsidRPr="003E0C40">
        <w:rPr>
          <w:bCs/>
        </w:rPr>
        <w:t>Abacavir and Plavix.</w:t>
      </w:r>
    </w:p>
    <w:p w14:paraId="1D5D120A" w14:textId="77777777" w:rsidR="0032123E" w:rsidRPr="00C250A4" w:rsidRDefault="0032123E" w:rsidP="0032123E">
      <w:pPr>
        <w:autoSpaceDE w:val="0"/>
        <w:autoSpaceDN w:val="0"/>
        <w:adjustRightInd w:val="0"/>
        <w:spacing w:before="120" w:after="120"/>
        <w:ind w:right="0"/>
      </w:pPr>
      <w:r w:rsidRPr="003E0C40">
        <w:rPr>
          <w:bCs/>
        </w:rPr>
        <w:t>Abacavir</w:t>
      </w:r>
      <w:r w:rsidRPr="003E0C40">
        <w:t xml:space="preserve"> is an anti-viral drug used for treating HIV-1. Hypersensitivity to Abacavir is strongly associated with the human leukocyte antigen allele HLA-B*5701. The reported rate of hypersensitivity reaction (HSR) to Abacavir is approximately 5-8% among whites of European ancestry and 2-3% among African Americans. A recent study provides strong evidence that pretreatment screening for HLA-B*5701 and avoidance of Abacavir in patients with the allele significantly decreases risk of Abacavir HSR. </w:t>
      </w:r>
    </w:p>
    <w:p w14:paraId="1689D8FC" w14:textId="77777777" w:rsidR="0032123E" w:rsidRDefault="0032123E" w:rsidP="0032123E">
      <w:pPr>
        <w:autoSpaceDE w:val="0"/>
        <w:autoSpaceDN w:val="0"/>
        <w:adjustRightInd w:val="0"/>
        <w:spacing w:before="120" w:after="120"/>
        <w:ind w:right="0"/>
      </w:pPr>
      <w:r w:rsidRPr="003E0C40">
        <w:rPr>
          <w:bCs/>
        </w:rPr>
        <w:lastRenderedPageBreak/>
        <w:t>Plavix</w:t>
      </w:r>
      <w:r w:rsidRPr="003E0C40">
        <w:rPr>
          <w:b/>
        </w:rPr>
        <w:t xml:space="preserve"> </w:t>
      </w:r>
      <w:r w:rsidRPr="003E0C40">
        <w:t xml:space="preserve">is an  anti-clotting drug. It is not metabolized well by a variant of cytochrome P450 (CYP2C19) and therefore not converted to active form in individuals who have that variant. As many as 30% of the population have the variant and do not respond to the anti-clotting medication and are therefore at risk for major adverse cardiovascular events if Plavix is used. </w:t>
      </w:r>
    </w:p>
    <w:p w14:paraId="4155FCBC" w14:textId="77777777" w:rsidR="0032123E" w:rsidRPr="003E0C40" w:rsidRDefault="0032123E" w:rsidP="0032123E">
      <w:pPr>
        <w:autoSpaceDE w:val="0"/>
        <w:autoSpaceDN w:val="0"/>
        <w:adjustRightInd w:val="0"/>
        <w:spacing w:before="120" w:after="120"/>
        <w:ind w:right="0"/>
      </w:pPr>
      <w:r w:rsidRPr="003E0C40">
        <w:t>2</w:t>
      </w:r>
      <w:r>
        <w:t>7</w:t>
      </w:r>
      <w:r w:rsidRPr="003E0C40">
        <w:t xml:space="preserve"> Soroka, S. N. "Negativity in Democratic Politics: Causes and Consequences". Cambridge University Press. (2014).</w:t>
      </w:r>
    </w:p>
    <w:p w14:paraId="1ACD9330" w14:textId="77777777" w:rsidR="0032123E" w:rsidRPr="003E0C40" w:rsidRDefault="0032123E" w:rsidP="0032123E">
      <w:pPr>
        <w:autoSpaceDE w:val="0"/>
        <w:autoSpaceDN w:val="0"/>
        <w:adjustRightInd w:val="0"/>
        <w:spacing w:before="120" w:after="120"/>
        <w:ind w:right="0"/>
      </w:pPr>
      <w:r w:rsidRPr="003E0C40">
        <w:t>2</w:t>
      </w:r>
      <w:r>
        <w:t>8</w:t>
      </w:r>
      <w:r w:rsidRPr="003E0C40">
        <w:t xml:space="preserve"> Trussler, M., &amp; S. Soroka, "Consumer Demand for Cynical and Negative News Frames." </w:t>
      </w:r>
      <w:r w:rsidRPr="003E0C40">
        <w:rPr>
          <w:i/>
          <w:iCs/>
        </w:rPr>
        <w:t>The International Journal of Press/Politics</w:t>
      </w:r>
      <w:r w:rsidRPr="003E0C40">
        <w:t>, 19(3), pp. 360–379 (2014).</w:t>
      </w:r>
    </w:p>
    <w:p w14:paraId="5B945893" w14:textId="77777777" w:rsidR="0032123E" w:rsidRPr="004C5F28" w:rsidRDefault="0032123E" w:rsidP="0032123E">
      <w:pPr>
        <w:spacing w:before="120" w:after="120"/>
        <w:ind w:right="0"/>
        <w:rPr>
          <w:b/>
          <w:bCs/>
          <w:color w:val="0A0A0A"/>
          <w:shd w:val="clear" w:color="auto" w:fill="F0F2F5"/>
        </w:rPr>
      </w:pPr>
      <w:r w:rsidRPr="003E0C40">
        <w:t>2</w:t>
      </w:r>
      <w:r>
        <w:t>9</w:t>
      </w:r>
      <w:r w:rsidRPr="003E0C40">
        <w:t xml:space="preserve"> </w:t>
      </w:r>
      <w:r w:rsidRPr="004C5F28">
        <w:rPr>
          <w:rStyle w:val="Strong"/>
          <w:b w:val="0"/>
          <w:bCs w:val="0"/>
          <w:color w:val="0A0A0A"/>
          <w:shd w:val="clear" w:color="auto" w:fill="F0F2F5"/>
        </w:rPr>
        <w:t>The exome is the portion of a cell's DNA that provides the instructions for making proteins</w:t>
      </w:r>
      <w:r w:rsidRPr="004C5F28">
        <w:rPr>
          <w:b/>
          <w:bCs/>
          <w:color w:val="0A0A0A"/>
          <w:shd w:val="clear" w:color="auto" w:fill="F0F2F5"/>
        </w:rPr>
        <w:t>.</w:t>
      </w:r>
    </w:p>
    <w:p w14:paraId="6516EBD2" w14:textId="77777777" w:rsidR="0032123E" w:rsidRPr="003E0C40" w:rsidRDefault="0032123E" w:rsidP="0032123E">
      <w:pPr>
        <w:pStyle w:val="NormalWeb"/>
        <w:spacing w:before="120" w:beforeAutospacing="0" w:after="120" w:afterAutospacing="0"/>
        <w:ind w:right="0"/>
      </w:pPr>
      <w:r>
        <w:t xml:space="preserve">30 </w:t>
      </w:r>
      <w:r w:rsidRPr="003E0C40">
        <w:t>Another example derives from the finding that the genetic risk profile of a human subpopulation typically comprises two parts: a "public" component shared across the species, and a "private" component reflecting that subpopulation’s unique evolutionary history—migration, genetic drift, local selection and so on. Standard risk models for conditions such as heart disease were originally developed using European populations and implicitly assumed a single evolutionary history. As a result, they mis-weighted genetic variants in populations shaped by different histories and were up to five times less accurate for non-European groups. Current risk scores incorporate this evolutionary structure by using diverse populations to capture shared disease biology, thereby identifying high-risk individuals in African, Hispanic, and Asian populations who would have been missed by older, European-centric tests.</w:t>
      </w:r>
    </w:p>
    <w:p w14:paraId="3B61D120" w14:textId="77777777" w:rsidR="0032123E" w:rsidRPr="003E0C40" w:rsidRDefault="0032123E" w:rsidP="0032123E">
      <w:pPr>
        <w:pStyle w:val="NormalWeb"/>
        <w:spacing w:before="120" w:beforeAutospacing="0" w:after="120" w:afterAutospacing="0"/>
        <w:ind w:right="0"/>
      </w:pPr>
      <w:r w:rsidRPr="003E0C40">
        <w:t>Beyond clinical applications, genomic research has shifted our understanding of the "98%" of our genome once dismissed as "junk" because it doesn’t code for proteins. We now recognize this non-coding DNA as critical; much of it consists of regulatory sequences that can switch genes on and off. These regions often evolve faster than protein-coding genes and are key drivers in distinguishing humans from our primate relatives.</w:t>
      </w:r>
    </w:p>
    <w:p w14:paraId="32A07970" w14:textId="77777777" w:rsidR="0032123E" w:rsidRPr="002775FB" w:rsidRDefault="0032123E" w:rsidP="0032123E">
      <w:pPr>
        <w:spacing w:before="120" w:after="120"/>
        <w:ind w:right="0"/>
        <w:rPr>
          <w:b/>
          <w:bCs/>
        </w:rPr>
      </w:pPr>
      <w:r>
        <w:t>31</w:t>
      </w:r>
      <w:r w:rsidRPr="003E0C40">
        <w:t xml:space="preserve"> </w:t>
      </w:r>
      <w:r>
        <w:t>T</w:t>
      </w:r>
      <w:r w:rsidRPr="003E0C40">
        <w:t>his section requires some explanation of terminology.</w:t>
      </w:r>
      <w:r w:rsidRPr="003E0C40">
        <w:rPr>
          <w:b/>
          <w:bCs/>
        </w:rPr>
        <w:t xml:space="preserve"> </w:t>
      </w:r>
      <w:r w:rsidRPr="003E0C40">
        <w:t xml:space="preserve">A </w:t>
      </w:r>
      <w:r w:rsidRPr="004C5F28">
        <w:rPr>
          <w:rStyle w:val="Strong"/>
          <w:b w:val="0"/>
          <w:bCs w:val="0"/>
          <w:i/>
          <w:iCs/>
        </w:rPr>
        <w:t>disease</w:t>
      </w:r>
      <w:r w:rsidRPr="003E0C40">
        <w:t xml:space="preserve"> typically refers to a condition with a well-defined etiology whereas a </w:t>
      </w:r>
      <w:r w:rsidRPr="004C5F28">
        <w:rPr>
          <w:rStyle w:val="Strong"/>
          <w:b w:val="0"/>
          <w:bCs w:val="0"/>
          <w:i/>
          <w:iCs/>
        </w:rPr>
        <w:t>disorder</w:t>
      </w:r>
      <w:r w:rsidRPr="003E0C40">
        <w:t xml:space="preserve"> is a clinically recognized pattern of dysfunction for which the underlying causes are incomplete, even if biological correlates are known. The distinction is sometimes blurred and although I'll generally conform to the standard classification, I'll occasionally use them interchangeably, or use the neutral </w:t>
      </w:r>
      <w:r w:rsidRPr="003E0C40">
        <w:rPr>
          <w:i/>
          <w:iCs/>
        </w:rPr>
        <w:t>condition</w:t>
      </w:r>
      <w:r w:rsidRPr="003E0C40">
        <w:t xml:space="preserve"> instead. The expression </w:t>
      </w:r>
      <w:r w:rsidRPr="004C5F28">
        <w:rPr>
          <w:rStyle w:val="Strong"/>
          <w:b w:val="0"/>
          <w:bCs w:val="0"/>
          <w:i/>
          <w:iCs/>
        </w:rPr>
        <w:t>common disease or disorder</w:t>
      </w:r>
      <w:r w:rsidRPr="003E0C40">
        <w:rPr>
          <w:b/>
          <w:bCs/>
        </w:rPr>
        <w:t xml:space="preserve"> </w:t>
      </w:r>
      <w:r w:rsidRPr="003E0C40">
        <w:t xml:space="preserve">is generally used to refer to </w:t>
      </w:r>
      <w:r w:rsidRPr="004C5F28">
        <w:rPr>
          <w:rStyle w:val="Strong"/>
          <w:b w:val="0"/>
          <w:bCs w:val="0"/>
          <w:i/>
          <w:iCs/>
        </w:rPr>
        <w:t>complex</w:t>
      </w:r>
      <w:r w:rsidRPr="004C5F28">
        <w:rPr>
          <w:rStyle w:val="Strong"/>
          <w:b w:val="0"/>
          <w:bCs w:val="0"/>
        </w:rPr>
        <w:t xml:space="preserve"> conditions</w:t>
      </w:r>
      <w:r w:rsidRPr="003E0C40">
        <w:t xml:space="preserve"> that are </w:t>
      </w:r>
      <w:r w:rsidRPr="004C5F28">
        <w:rPr>
          <w:rStyle w:val="Strong"/>
          <w:b w:val="0"/>
          <w:bCs w:val="0"/>
        </w:rPr>
        <w:t>multifactorial</w:t>
      </w:r>
      <w:r w:rsidRPr="003E0C40">
        <w:t xml:space="preserve">, typically involving </w:t>
      </w:r>
      <w:r w:rsidRPr="004C5F28">
        <w:rPr>
          <w:rStyle w:val="Strong"/>
          <w:b w:val="0"/>
          <w:bCs w:val="0"/>
        </w:rPr>
        <w:t>many genetic variants of small effect (</w:t>
      </w:r>
      <w:r w:rsidRPr="004C5F28">
        <w:rPr>
          <w:rStyle w:val="Strong"/>
          <w:b w:val="0"/>
          <w:bCs w:val="0"/>
          <w:i/>
          <w:iCs/>
        </w:rPr>
        <w:t>polygenic architecture</w:t>
      </w:r>
      <w:r w:rsidRPr="004C5F28">
        <w:rPr>
          <w:rStyle w:val="Strong"/>
          <w:b w:val="0"/>
          <w:bCs w:val="0"/>
        </w:rPr>
        <w:t>)</w:t>
      </w:r>
      <w:r w:rsidRPr="003E0C40">
        <w:rPr>
          <w:b/>
          <w:bCs/>
        </w:rPr>
        <w:t xml:space="preserve"> </w:t>
      </w:r>
      <w:r w:rsidRPr="003E0C40">
        <w:t>together with</w:t>
      </w:r>
      <w:r w:rsidRPr="003E0C40">
        <w:rPr>
          <w:b/>
          <w:bCs/>
        </w:rPr>
        <w:t xml:space="preserve"> </w:t>
      </w:r>
      <w:r w:rsidRPr="004C5F28">
        <w:rPr>
          <w:rStyle w:val="Strong"/>
          <w:b w:val="0"/>
          <w:bCs w:val="0"/>
        </w:rPr>
        <w:t>environmental and developmental influences</w:t>
      </w:r>
      <w:r w:rsidRPr="003E0C40">
        <w:t xml:space="preserve">, rather than a single, well-defined cause. </w:t>
      </w:r>
      <w:r w:rsidRPr="003E0C40">
        <w:rPr>
          <w:i/>
          <w:iCs/>
        </w:rPr>
        <w:t>Common</w:t>
      </w:r>
      <w:r w:rsidRPr="003E0C40">
        <w:t xml:space="preserve"> and </w:t>
      </w:r>
      <w:r w:rsidRPr="003E0C40">
        <w:rPr>
          <w:i/>
          <w:iCs/>
        </w:rPr>
        <w:t>complex</w:t>
      </w:r>
      <w:r w:rsidRPr="003E0C40">
        <w:t xml:space="preserve"> are used interchangeably. If it makes reading easier you can assume that to a first approximation common/complex have the same meaning, as does disease/disorder.</w:t>
      </w:r>
    </w:p>
    <w:p w14:paraId="515F9C19" w14:textId="77777777" w:rsidR="0032123E" w:rsidRPr="003E0C40" w:rsidRDefault="0032123E" w:rsidP="0032123E">
      <w:pPr>
        <w:spacing w:before="120" w:after="120"/>
        <w:ind w:right="0"/>
      </w:pPr>
      <w:r>
        <w:t>32</w:t>
      </w:r>
      <w:r w:rsidRPr="003E0C40">
        <w:rPr>
          <w:i/>
          <w:iCs/>
        </w:rPr>
        <w:t xml:space="preserve"> A reference map</w:t>
      </w:r>
      <w:r w:rsidRPr="003E0C40">
        <w:t xml:space="preserve"> in this sense refers to a high-resolution physical (sequence-based) map in which the location of each base is specified by counting from position 1 of a standard reference chromosome to which individual genomes are aligned. This allows genetic variants to be located with base-pair precision.</w:t>
      </w:r>
    </w:p>
    <w:p w14:paraId="5BF43FD3" w14:textId="77777777" w:rsidR="0032123E" w:rsidRPr="003E0C40" w:rsidRDefault="0032123E" w:rsidP="0032123E">
      <w:pPr>
        <w:spacing w:before="120" w:after="120"/>
        <w:ind w:right="0"/>
      </w:pPr>
      <w:r w:rsidRPr="003E0C40">
        <w:t xml:space="preserve">The traditional </w:t>
      </w:r>
      <w:r w:rsidRPr="003E0C40">
        <w:rPr>
          <w:i/>
          <w:iCs/>
        </w:rPr>
        <w:t>cytogenetic map</w:t>
      </w:r>
      <w:r w:rsidRPr="003E0C40">
        <w:t>, by contrast, locates genes using visible banding patterns produced by staining chromosomes. For example, the BRCA1 gene</w:t>
      </w:r>
      <w:r>
        <w:t xml:space="preserve"> </w:t>
      </w:r>
      <w:r w:rsidRPr="003E0C40">
        <w:t xml:space="preserve">is cytogenetically located at 17q21.3—meaning it lies on the long arm (q) of chromosome 17, in band 21, sub-band 3. While </w:t>
      </w:r>
      <w:r w:rsidRPr="003E0C40">
        <w:lastRenderedPageBreak/>
        <w:t>this description provides a coarse, visually defined location, it does not specify the exact DNA sequence involved.</w:t>
      </w:r>
    </w:p>
    <w:p w14:paraId="44416C33" w14:textId="77777777" w:rsidR="0032123E" w:rsidRPr="003E0C40" w:rsidRDefault="0032123E" w:rsidP="0032123E">
      <w:pPr>
        <w:spacing w:before="120" w:after="120"/>
        <w:ind w:right="0"/>
      </w:pPr>
      <w:r w:rsidRPr="004C5F28">
        <w:rPr>
          <w:rStyle w:val="Strong"/>
          <w:rFonts w:eastAsia="MS Mincho"/>
          <w:b w:val="0"/>
          <w:bCs w:val="0"/>
          <w:i/>
          <w:iCs/>
          <w:color w:val="0A0A0A"/>
          <w:shd w:val="clear" w:color="auto" w:fill="FFFFFF"/>
        </w:rPr>
        <w:t>Physical maps</w:t>
      </w:r>
      <w:r w:rsidRPr="003E0C40">
        <w:rPr>
          <w:color w:val="0A0A0A"/>
          <w:shd w:val="clear" w:color="auto" w:fill="FFFFFF"/>
        </w:rPr>
        <w:t> bridge the gap between chromosomal landmarks and specific common variants, such as </w:t>
      </w:r>
      <w:r w:rsidRPr="004C5F28">
        <w:rPr>
          <w:rStyle w:val="Strong"/>
          <w:rFonts w:eastAsia="MS Mincho"/>
          <w:b w:val="0"/>
          <w:bCs w:val="0"/>
          <w:i/>
          <w:iCs/>
          <w:color w:val="0A0A0A"/>
          <w:shd w:val="clear" w:color="auto" w:fill="FFFFFF"/>
        </w:rPr>
        <w:t>single nucleotide polymorphisms</w:t>
      </w:r>
      <w:r w:rsidRPr="004C5F28">
        <w:rPr>
          <w:b/>
          <w:bCs/>
          <w:i/>
          <w:iCs/>
          <w:color w:val="0A0A0A"/>
          <w:shd w:val="clear" w:color="auto" w:fill="FFFFFF"/>
        </w:rPr>
        <w:t> (</w:t>
      </w:r>
      <w:r w:rsidRPr="004C5F28">
        <w:rPr>
          <w:rStyle w:val="Strong"/>
          <w:rFonts w:eastAsia="MS Mincho"/>
          <w:b w:val="0"/>
          <w:bCs w:val="0"/>
          <w:i/>
          <w:iCs/>
          <w:color w:val="0A0A0A"/>
          <w:shd w:val="clear" w:color="auto" w:fill="FFFFFF"/>
        </w:rPr>
        <w:t>SNPs</w:t>
      </w:r>
      <w:r w:rsidRPr="003E0C40">
        <w:rPr>
          <w:b/>
          <w:bCs/>
          <w:i/>
          <w:iCs/>
          <w:color w:val="0A0A0A"/>
          <w:shd w:val="clear" w:color="auto" w:fill="FFFFFF"/>
        </w:rPr>
        <w:t>).</w:t>
      </w:r>
      <w:r w:rsidRPr="003E0C40">
        <w:rPr>
          <w:color w:val="0A0A0A"/>
          <w:shd w:val="clear" w:color="auto" w:fill="FFFFFF"/>
        </w:rPr>
        <w:t xml:space="preserve"> SNPs are variations between paired chromosomes resulting from a single nucleotide (A, T, C, or G) substitution, where the minor allele is present in at least ~1% of the population.</w:t>
      </w:r>
      <w:r w:rsidRPr="003E0C40">
        <w:t xml:space="preserve"> This precision allows disease-linked regions to be identified accurately and their inheritance to be tracked at the level of individual base changes. </w:t>
      </w:r>
    </w:p>
    <w:p w14:paraId="1CE0C59C" w14:textId="77777777" w:rsidR="0032123E" w:rsidRPr="003E0C40" w:rsidRDefault="0032123E" w:rsidP="0032123E">
      <w:pPr>
        <w:spacing w:before="120" w:after="120"/>
        <w:ind w:right="0"/>
      </w:pPr>
      <w:r w:rsidRPr="003E0C40">
        <w:rPr>
          <w:i/>
          <w:iCs/>
        </w:rPr>
        <w:t>High-density genotyping</w:t>
      </w:r>
      <w:r w:rsidRPr="003E0C40">
        <w:t xml:space="preserve"> identifies and analyzes very large numbers of markers—typically SNPs—across the entire genome of an individual or population. Whereas standard genotyping might assay only a few thousand markers, dense genotyping involves hundreds of thousands or even millions, capturing a far more detailed picture of genetic variation and the relationships among genomic regions.</w:t>
      </w:r>
      <w:r w:rsidRPr="003E0C40">
        <w:rPr>
          <w:vanish/>
        </w:rPr>
        <w:t>Top of FormBottom of Form</w:t>
      </w:r>
    </w:p>
    <w:p w14:paraId="7609A66B" w14:textId="77777777" w:rsidR="0032123E" w:rsidRPr="003E0C40" w:rsidRDefault="0032123E" w:rsidP="0032123E">
      <w:pPr>
        <w:spacing w:before="120" w:after="120"/>
        <w:ind w:right="0"/>
      </w:pPr>
      <w:r>
        <w:t>3</w:t>
      </w:r>
      <w:r w:rsidRPr="003E0C40">
        <w:t xml:space="preserve">2  Corder E H, A. M. Saunders, W. J. Strittmatter, Schmechel DE, Gaskell PC, Small GW, Roses AD, Haines JL, Pericak-Vance MA. "Gene Dose of Apolipoprotein E Type 4 Allele and the Risk of Alzheimer's disease in Late Onset Families." </w:t>
      </w:r>
      <w:r w:rsidRPr="003E0C40">
        <w:rPr>
          <w:i/>
          <w:iCs/>
        </w:rPr>
        <w:t>Science</w:t>
      </w:r>
      <w:r w:rsidRPr="003E0C40">
        <w:t xml:space="preserve">. 13;261(5123):921-3. 1993 </w:t>
      </w:r>
      <w:proofErr w:type="spellStart"/>
      <w:r w:rsidRPr="003E0C40">
        <w:t>doi</w:t>
      </w:r>
      <w:proofErr w:type="spellEnd"/>
      <w:r w:rsidRPr="003E0C40">
        <w:t xml:space="preserve">: 10.1126/science.8346443. </w:t>
      </w:r>
    </w:p>
    <w:p w14:paraId="6B425247" w14:textId="77777777" w:rsidR="0032123E" w:rsidRPr="003E0C40" w:rsidRDefault="0032123E" w:rsidP="0032123E">
      <w:pPr>
        <w:spacing w:before="120" w:after="120"/>
        <w:ind w:right="0"/>
      </w:pPr>
      <w:r>
        <w:t xml:space="preserve">33 </w:t>
      </w:r>
      <w:r w:rsidRPr="003E0C40">
        <w:t xml:space="preserve">Saunders AM, Strittmatter WJ, Schmechel D, George-Hyslop PH, Pericak-Vance MA, Joo SH, Rosi BL, </w:t>
      </w:r>
      <w:proofErr w:type="spellStart"/>
      <w:r w:rsidRPr="003E0C40">
        <w:t>Gusella</w:t>
      </w:r>
      <w:proofErr w:type="spellEnd"/>
      <w:r w:rsidRPr="003E0C40">
        <w:t xml:space="preserve"> JF, Crapper-MacLachlan DR, Alberts MJ, et al. "Association of apolipoprotein E allele epsilon 4 with late-onset familial and sporadic Alzheimer's disease." </w:t>
      </w:r>
      <w:r w:rsidRPr="003E0C40">
        <w:rPr>
          <w:i/>
          <w:iCs/>
        </w:rPr>
        <w:t>Neurology</w:t>
      </w:r>
      <w:r w:rsidRPr="003E0C40">
        <w:t xml:space="preserve">. 43(8):1467-72. 1993 </w:t>
      </w:r>
      <w:proofErr w:type="spellStart"/>
      <w:r w:rsidRPr="003E0C40">
        <w:t>doi</w:t>
      </w:r>
      <w:proofErr w:type="spellEnd"/>
      <w:r w:rsidRPr="003E0C40">
        <w:t>: 10.1212/wnl.43.8.1467</w:t>
      </w:r>
    </w:p>
    <w:p w14:paraId="6A5B4DEC" w14:textId="77777777" w:rsidR="0032123E" w:rsidRPr="003E0C40" w:rsidRDefault="0032123E" w:rsidP="0032123E">
      <w:pPr>
        <w:pStyle w:val="font-claude-response-body"/>
        <w:spacing w:before="120" w:beforeAutospacing="0" w:after="120" w:afterAutospacing="0"/>
      </w:pPr>
      <w:r w:rsidRPr="003E0C40">
        <w:t>3</w:t>
      </w:r>
      <w:r>
        <w:t>4</w:t>
      </w:r>
      <w:r w:rsidRPr="003E0C40">
        <w:rPr>
          <w:rStyle w:val="Strong"/>
          <w:rFonts w:eastAsiaTheme="majorEastAsia"/>
        </w:rPr>
        <w:t xml:space="preserve"> </w:t>
      </w:r>
      <w:r w:rsidRPr="004C5F28">
        <w:rPr>
          <w:rStyle w:val="Strong"/>
          <w:rFonts w:eastAsiaTheme="majorEastAsia"/>
          <w:b w:val="0"/>
          <w:bCs w:val="0"/>
        </w:rPr>
        <w:t>Lynch, M., &amp; Walsh, B</w:t>
      </w:r>
      <w:r w:rsidRPr="003E0C40">
        <w:rPr>
          <w:rStyle w:val="Strong"/>
          <w:rFonts w:eastAsiaTheme="majorEastAsia"/>
        </w:rPr>
        <w:t xml:space="preserve">. </w:t>
      </w:r>
      <w:r w:rsidRPr="003E0C40">
        <w:t xml:space="preserve">Genetics and Analysis of Quantitative Traits, Chapter 2 Threshold Characters, </w:t>
      </w:r>
      <w:r w:rsidRPr="003E0C40">
        <w:rPr>
          <w:rStyle w:val="Emphasis"/>
          <w:rFonts w:eastAsiaTheme="majorEastAsia"/>
        </w:rPr>
        <w:t>Sinauer Associates, Sunderland, MA</w:t>
      </w:r>
      <w:r w:rsidRPr="003E0C40">
        <w:rPr>
          <w:rStyle w:val="Strong"/>
          <w:rFonts w:eastAsiaTheme="majorEastAsia"/>
        </w:rPr>
        <w:t xml:space="preserve"> (</w:t>
      </w:r>
      <w:r w:rsidRPr="004C5F28">
        <w:rPr>
          <w:rStyle w:val="Strong"/>
          <w:rFonts w:eastAsiaTheme="majorEastAsia"/>
          <w:b w:val="0"/>
          <w:bCs w:val="0"/>
        </w:rPr>
        <w:t>1998</w:t>
      </w:r>
      <w:r w:rsidRPr="003E0C40">
        <w:rPr>
          <w:rStyle w:val="Strong"/>
          <w:rFonts w:eastAsiaTheme="majorEastAsia"/>
        </w:rPr>
        <w:t>).</w:t>
      </w:r>
    </w:p>
    <w:p w14:paraId="4BC958BC" w14:textId="77777777" w:rsidR="0032123E" w:rsidRPr="004C5F28" w:rsidRDefault="0032123E" w:rsidP="0032123E">
      <w:pPr>
        <w:pStyle w:val="font-claude-response-body"/>
        <w:spacing w:before="120" w:beforeAutospacing="0" w:after="120" w:afterAutospacing="0"/>
        <w:rPr>
          <w:rStyle w:val="Strong"/>
          <w:rFonts w:eastAsiaTheme="majorEastAsia"/>
          <w:b w:val="0"/>
          <w:bCs w:val="0"/>
        </w:rPr>
      </w:pPr>
      <w:r w:rsidRPr="003E0C40">
        <w:t>3</w:t>
      </w:r>
      <w:r>
        <w:t>5</w:t>
      </w:r>
      <w:r w:rsidRPr="003E0C40">
        <w:t xml:space="preserve"> </w:t>
      </w:r>
      <w:r w:rsidRPr="004C5F28">
        <w:rPr>
          <w:rStyle w:val="Strong"/>
          <w:rFonts w:eastAsiaTheme="majorEastAsia"/>
          <w:b w:val="0"/>
          <w:bCs w:val="0"/>
        </w:rPr>
        <w:t>Sullivan, P. F.</w:t>
      </w:r>
      <w:r w:rsidRPr="003E0C40">
        <w:rPr>
          <w:rStyle w:val="Strong"/>
          <w:rFonts w:eastAsiaTheme="majorEastAsia"/>
        </w:rPr>
        <w:t xml:space="preserve"> "</w:t>
      </w:r>
      <w:r w:rsidRPr="003E0C40">
        <w:t xml:space="preserve">How Good Were Candidate Gene Guesses in Schizophrenia </w:t>
      </w:r>
      <w:r w:rsidRPr="004C5F28">
        <w:t xml:space="preserve">Genetics?" </w:t>
      </w:r>
      <w:r w:rsidRPr="004C5F28">
        <w:rPr>
          <w:rStyle w:val="Emphasis"/>
          <w:rFonts w:eastAsiaTheme="majorEastAsia"/>
        </w:rPr>
        <w:t>Biological Psychiatry</w:t>
      </w:r>
      <w:r w:rsidRPr="004C5F28">
        <w:t xml:space="preserve">, 82(9), 696-697 </w:t>
      </w:r>
      <w:r w:rsidRPr="004C5F28">
        <w:rPr>
          <w:rStyle w:val="Strong"/>
          <w:rFonts w:eastAsiaTheme="majorEastAsia"/>
          <w:b w:val="0"/>
          <w:bCs w:val="0"/>
        </w:rPr>
        <w:t>(2017).</w:t>
      </w:r>
    </w:p>
    <w:p w14:paraId="065E03C2" w14:textId="77777777" w:rsidR="0032123E" w:rsidRPr="002775FB" w:rsidRDefault="0032123E" w:rsidP="0032123E">
      <w:pPr>
        <w:pStyle w:val="font-claude-response-body"/>
        <w:spacing w:before="120" w:beforeAutospacing="0" w:after="120" w:afterAutospacing="0"/>
        <w:rPr>
          <w:rStyle w:val="Strong"/>
          <w:b w:val="0"/>
          <w:bCs w:val="0"/>
        </w:rPr>
      </w:pPr>
      <w:r w:rsidRPr="004C5F28">
        <w:rPr>
          <w:rStyle w:val="Strong"/>
          <w:rFonts w:eastAsiaTheme="majorEastAsia"/>
          <w:b w:val="0"/>
          <w:bCs w:val="0"/>
        </w:rPr>
        <w:t>36 DeLisi, L. E., et al. (2002</w:t>
      </w:r>
      <w:r w:rsidRPr="003E0C40">
        <w:rPr>
          <w:rStyle w:val="Strong"/>
          <w:rFonts w:eastAsiaTheme="majorEastAsia"/>
        </w:rPr>
        <w:t>).</w:t>
      </w:r>
      <w:r w:rsidRPr="003E0C40">
        <w:t xml:space="preserve"> "A Genome-wide Scan for Linkage to Chromosomal Regions in 382 Sibling Pairs With Schizophrenia or Schizoaffective Disorder." </w:t>
      </w:r>
      <w:r w:rsidRPr="003E0C40">
        <w:rPr>
          <w:rStyle w:val="Emphasis"/>
          <w:rFonts w:eastAsiaTheme="majorEastAsia"/>
        </w:rPr>
        <w:t>American Journal of Psychiatry</w:t>
      </w:r>
      <w:r w:rsidRPr="003E0C40">
        <w:t>, 159(5), 803-812.</w:t>
      </w:r>
    </w:p>
    <w:p w14:paraId="5FC2ECB0" w14:textId="77777777" w:rsidR="0032123E" w:rsidRPr="003E0C40" w:rsidRDefault="0032123E" w:rsidP="0032123E">
      <w:pPr>
        <w:pStyle w:val="font-claude-response-body"/>
        <w:spacing w:before="120" w:beforeAutospacing="0" w:after="120" w:afterAutospacing="0"/>
      </w:pPr>
      <w:r w:rsidRPr="0032123E">
        <w:rPr>
          <w:rStyle w:val="Strong"/>
          <w:rFonts w:eastAsiaTheme="majorEastAsia"/>
          <w:b w:val="0"/>
          <w:bCs w:val="0"/>
        </w:rPr>
        <w:t>3</w:t>
      </w:r>
      <w:r>
        <w:rPr>
          <w:rStyle w:val="Strong"/>
          <w:rFonts w:eastAsiaTheme="majorEastAsia"/>
          <w:b w:val="0"/>
          <w:bCs w:val="0"/>
        </w:rPr>
        <w:t>7</w:t>
      </w:r>
      <w:r w:rsidRPr="003E0C40">
        <w:rPr>
          <w:rStyle w:val="Strong"/>
          <w:rFonts w:eastAsiaTheme="majorEastAsia"/>
        </w:rPr>
        <w:t xml:space="preserve"> </w:t>
      </w:r>
      <w:r w:rsidRPr="004C5F28">
        <w:rPr>
          <w:rStyle w:val="Strong"/>
          <w:rFonts w:eastAsiaTheme="majorEastAsia"/>
          <w:b w:val="0"/>
          <w:bCs w:val="0"/>
        </w:rPr>
        <w:t>International Schizophrenia Consortium et al. (2009).</w:t>
      </w:r>
      <w:r w:rsidRPr="003E0C40">
        <w:rPr>
          <w:b/>
          <w:bCs/>
        </w:rPr>
        <w:t xml:space="preserve"> </w:t>
      </w:r>
      <w:r w:rsidRPr="003E0C40">
        <w:t xml:space="preserve">Common polygenic variation contributes to risk of schizophrenia and bipolar disorder. </w:t>
      </w:r>
      <w:r w:rsidRPr="003E0C40">
        <w:rPr>
          <w:rStyle w:val="Emphasis"/>
          <w:rFonts w:eastAsiaTheme="majorEastAsia"/>
        </w:rPr>
        <w:t>Nature</w:t>
      </w:r>
      <w:r w:rsidRPr="003E0C40">
        <w:t>, 460(7256), 748-752.</w:t>
      </w:r>
    </w:p>
    <w:p w14:paraId="53FEF327" w14:textId="77777777" w:rsidR="0032123E" w:rsidRPr="00DD3B6A" w:rsidRDefault="0032123E" w:rsidP="0032123E">
      <w:pPr>
        <w:spacing w:before="120" w:after="120"/>
        <w:ind w:right="0"/>
      </w:pPr>
      <w:r w:rsidRPr="003E0C40">
        <w:t>3</w:t>
      </w:r>
      <w:r>
        <w:t>8</w:t>
      </w:r>
      <w:r w:rsidRPr="003E0C40">
        <w:t xml:space="preserve"> A Genome-Wide Association Study (GWAS) is a research method used to identify genetic variants that are statistically associated with a specific disease or trait. The variants are typically SNPs. By rapidly scanning the entire genomes of two large groups—one with the trait (cases) and one without (controls)—scientists can see which genetic markers appear more frequently in the affected group.</w:t>
      </w:r>
    </w:p>
    <w:p w14:paraId="76C3097D" w14:textId="77777777" w:rsidR="0032123E" w:rsidRPr="00DD3B6A" w:rsidRDefault="0032123E" w:rsidP="0032123E">
      <w:pPr>
        <w:pStyle w:val="font-claude-response-body"/>
        <w:spacing w:before="120" w:beforeAutospacing="0" w:after="120" w:afterAutospacing="0"/>
        <w:rPr>
          <w:color w:val="212121"/>
          <w:shd w:val="clear" w:color="auto" w:fill="FFFFFF"/>
        </w:rPr>
      </w:pPr>
      <w:r w:rsidRPr="003E0C40">
        <w:rPr>
          <w:color w:val="212121"/>
          <w:shd w:val="clear" w:color="auto" w:fill="FFFFFF"/>
        </w:rPr>
        <w:t>3</w:t>
      </w:r>
      <w:r>
        <w:rPr>
          <w:color w:val="212121"/>
          <w:shd w:val="clear" w:color="auto" w:fill="FFFFFF"/>
        </w:rPr>
        <w:t>9</w:t>
      </w:r>
      <w:r w:rsidRPr="003E0C40">
        <w:rPr>
          <w:color w:val="212121"/>
          <w:shd w:val="clear" w:color="auto" w:fill="FFFFFF"/>
        </w:rPr>
        <w:t xml:space="preserve"> van Dongen J, Boomsma DI. The evolutionary paradox and the missing heritability of schizophrenia. Am J Med Genet B </w:t>
      </w:r>
      <w:proofErr w:type="spellStart"/>
      <w:r w:rsidRPr="003E0C40">
        <w:rPr>
          <w:color w:val="212121"/>
          <w:shd w:val="clear" w:color="auto" w:fill="FFFFFF"/>
        </w:rPr>
        <w:t>Neuropsychiatr</w:t>
      </w:r>
      <w:proofErr w:type="spellEnd"/>
      <w:r w:rsidRPr="003E0C40">
        <w:rPr>
          <w:color w:val="212121"/>
          <w:shd w:val="clear" w:color="auto" w:fill="FFFFFF"/>
        </w:rPr>
        <w:t xml:space="preserve"> Genet. 2013 Mar;162B(2):122-36. </w:t>
      </w:r>
      <w:proofErr w:type="spellStart"/>
      <w:r w:rsidRPr="003E0C40">
        <w:rPr>
          <w:color w:val="212121"/>
          <w:shd w:val="clear" w:color="auto" w:fill="FFFFFF"/>
        </w:rPr>
        <w:t>doi</w:t>
      </w:r>
      <w:proofErr w:type="spellEnd"/>
      <w:r w:rsidRPr="003E0C40">
        <w:rPr>
          <w:color w:val="212121"/>
          <w:shd w:val="clear" w:color="auto" w:fill="FFFFFF"/>
        </w:rPr>
        <w:t xml:space="preserve">: 10.1002/ajmg.b.32135. </w:t>
      </w:r>
      <w:proofErr w:type="spellStart"/>
      <w:r w:rsidRPr="003E0C40">
        <w:rPr>
          <w:color w:val="212121"/>
          <w:shd w:val="clear" w:color="auto" w:fill="FFFFFF"/>
        </w:rPr>
        <w:t>Epub</w:t>
      </w:r>
      <w:proofErr w:type="spellEnd"/>
      <w:r w:rsidRPr="003E0C40">
        <w:rPr>
          <w:color w:val="212121"/>
          <w:shd w:val="clear" w:color="auto" w:fill="FFFFFF"/>
        </w:rPr>
        <w:t xml:space="preserve"> 2013 Jan 25. PMID: 23355297.</w:t>
      </w:r>
    </w:p>
    <w:p w14:paraId="334FF6F3" w14:textId="77777777" w:rsidR="0032123E" w:rsidRPr="003E0C40" w:rsidRDefault="0032123E" w:rsidP="0032123E">
      <w:pPr>
        <w:spacing w:before="120" w:after="120"/>
        <w:ind w:right="0"/>
      </w:pPr>
      <w:r>
        <w:t>40</w:t>
      </w:r>
      <w:r w:rsidRPr="003E0C40">
        <w:t xml:space="preserve"> Torrey, E. F., "Did the human genome project affect research on Schizophrenia?" Psychiatry Research, Volume 333,2024, ISSN 0165 1781,https://doi.org/10.1016/j.psychres.2023.11569</w:t>
      </w:r>
    </w:p>
    <w:p w14:paraId="1DC1898B" w14:textId="77777777" w:rsidR="0032123E" w:rsidRPr="003E0C40" w:rsidRDefault="0032123E" w:rsidP="0032123E">
      <w:pPr>
        <w:spacing w:before="120" w:after="120"/>
        <w:ind w:right="0"/>
      </w:pPr>
      <w:r>
        <w:lastRenderedPageBreak/>
        <w:t>41</w:t>
      </w:r>
      <w:r w:rsidRPr="003E0C40">
        <w:t xml:space="preserve"> Structural variants are </w:t>
      </w:r>
      <w:r w:rsidRPr="003E0C40">
        <w:rPr>
          <w:color w:val="000000"/>
        </w:rPr>
        <w:t>l</w:t>
      </w:r>
      <w:r w:rsidRPr="003E0C40">
        <w:t>arge genomic alterations — such as a deletion, duplication, inversion, or translocation — that change the structure of chromosomes and are</w:t>
      </w:r>
      <w:r w:rsidRPr="003E0C40">
        <w:rPr>
          <w:color w:val="000000"/>
        </w:rPr>
        <w:t xml:space="preserve"> poorly tagged by SNP arrays.</w:t>
      </w:r>
    </w:p>
    <w:p w14:paraId="24C654FE" w14:textId="77777777" w:rsidR="0032123E" w:rsidRPr="003E0C40" w:rsidRDefault="0032123E" w:rsidP="0032123E">
      <w:pPr>
        <w:spacing w:before="120" w:after="120"/>
        <w:ind w:right="0"/>
        <w:rPr>
          <w:color w:val="0A0A0A"/>
          <w:shd w:val="clear" w:color="auto" w:fill="FFFFFF"/>
        </w:rPr>
      </w:pPr>
      <w:r>
        <w:t>42</w:t>
      </w:r>
      <w:r w:rsidRPr="003E0C40">
        <w:t xml:space="preserve"> </w:t>
      </w:r>
      <w:r w:rsidRPr="003E0C40">
        <w:rPr>
          <w:color w:val="0A0A0A"/>
          <w:shd w:val="clear" w:color="auto" w:fill="FFFFFF"/>
        </w:rPr>
        <w:t>The  </w:t>
      </w:r>
      <w:r w:rsidRPr="003E0C40">
        <w:rPr>
          <w:i/>
          <w:iCs/>
          <w:color w:val="0A0A0A"/>
          <w:shd w:val="clear" w:color="auto" w:fill="FFFFFF"/>
        </w:rPr>
        <w:t>phenome</w:t>
      </w:r>
      <w:r w:rsidRPr="003E0C40">
        <w:rPr>
          <w:color w:val="0A0A0A"/>
          <w:shd w:val="clear" w:color="auto" w:fill="FFFFFF"/>
        </w:rPr>
        <w:t> is the complete set of an organism’s observable traits; the physical counterpart of the </w:t>
      </w:r>
      <w:r w:rsidRPr="003E0C40">
        <w:t>genome</w:t>
      </w:r>
      <w:r w:rsidRPr="003E0C40">
        <w:rPr>
          <w:color w:val="0A0A0A"/>
          <w:shd w:val="clear" w:color="auto" w:fill="FFFFFF"/>
        </w:rPr>
        <w:t>, which is often regarded as software.</w:t>
      </w:r>
    </w:p>
    <w:p w14:paraId="67B7504A" w14:textId="77777777" w:rsidR="0032123E" w:rsidRPr="003E0C40" w:rsidRDefault="0032123E" w:rsidP="0032123E">
      <w:pPr>
        <w:spacing w:before="120" w:after="120"/>
        <w:ind w:right="0"/>
      </w:pPr>
      <w:r>
        <w:t>43</w:t>
      </w:r>
      <w:r w:rsidRPr="003E0C40">
        <w:t xml:space="preserve"> McGary, K.L., J O. Woods, Hye Ji Cha, J B. Wallingford and E M. Marcotte: Systematic discovery of non-obvious human disease models through orthologous phenotypes. Proc Natl Acad. Sci U S A 2010</w:t>
      </w:r>
    </w:p>
    <w:p w14:paraId="7E9013AD" w14:textId="77777777" w:rsidR="0032123E" w:rsidRPr="003E0C40" w:rsidRDefault="0032123E" w:rsidP="0032123E">
      <w:pPr>
        <w:ind w:right="0"/>
      </w:pPr>
      <w:r>
        <w:t>44</w:t>
      </w:r>
      <w:r w:rsidRPr="003E0C40">
        <w:t xml:space="preserve"> Linghu, B, and C DeLisi, New Methods for Mapping Phenotypic Landscapes Within and  Between Species, Genome Biology 2010, 11:116</w:t>
      </w:r>
      <w:r>
        <w:t xml:space="preserve"> </w:t>
      </w:r>
      <w:r w:rsidRPr="003E0C40">
        <w:t>http://</w:t>
      </w:r>
      <w:proofErr w:type="spellStart"/>
      <w:r w:rsidRPr="003E0C40">
        <w:t>genomebiology.com</w:t>
      </w:r>
      <w:proofErr w:type="spellEnd"/>
      <w:r w:rsidRPr="003E0C40">
        <w:t>/2010/11/4/116</w:t>
      </w:r>
    </w:p>
    <w:p w14:paraId="35E7974D" w14:textId="77777777" w:rsidR="006D7E4F" w:rsidRDefault="006D7E4F"/>
    <w:sectPr w:rsidR="006D7E4F" w:rsidSect="00763108">
      <w:footerReference w:type="even"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C0845F" w14:textId="77777777" w:rsidR="00111EE3" w:rsidRDefault="00111EE3" w:rsidP="006D7E4F">
      <w:r>
        <w:separator/>
      </w:r>
    </w:p>
  </w:endnote>
  <w:endnote w:type="continuationSeparator" w:id="0">
    <w:p w14:paraId="4B26D578" w14:textId="77777777" w:rsidR="00111EE3" w:rsidRDefault="00111EE3" w:rsidP="006D7E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604020202020204"/>
    <w:charset w:val="00"/>
    <w:family w:val="swiss"/>
    <w:pitch w:val="variable"/>
    <w:sig w:usb0="20000287" w:usb1="00000003" w:usb2="00000000" w:usb3="00000000" w:csb0="0000019F" w:csb1="00000000"/>
  </w:font>
  <w:font w:name="Aptos Display">
    <w:panose1 w:val="020B06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webkit-standard">
    <w:altName w:val="Cambria"/>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98599574"/>
      <w:docPartObj>
        <w:docPartGallery w:val="Page Numbers (Bottom of Page)"/>
        <w:docPartUnique/>
      </w:docPartObj>
    </w:sdtPr>
    <w:sdtContent>
      <w:p w14:paraId="7B54BBD0" w14:textId="6E8FE128" w:rsidR="006D7E4F" w:rsidRDefault="006D7E4F" w:rsidP="003F150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55496280" w14:textId="77777777" w:rsidR="006D7E4F" w:rsidRDefault="006D7E4F" w:rsidP="006D7E4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33587563"/>
      <w:docPartObj>
        <w:docPartGallery w:val="Page Numbers (Bottom of Page)"/>
        <w:docPartUnique/>
      </w:docPartObj>
    </w:sdtPr>
    <w:sdtContent>
      <w:p w14:paraId="7C05AEC7" w14:textId="665F3B74" w:rsidR="006D7E4F" w:rsidRDefault="006D7E4F" w:rsidP="003F150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14</w:t>
        </w:r>
        <w:r>
          <w:rPr>
            <w:rStyle w:val="PageNumber"/>
          </w:rPr>
          <w:fldChar w:fldCharType="end"/>
        </w:r>
      </w:p>
    </w:sdtContent>
  </w:sdt>
  <w:p w14:paraId="1C943017" w14:textId="77777777" w:rsidR="006D7E4F" w:rsidRDefault="006D7E4F" w:rsidP="006D7E4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AB166F" w14:textId="77777777" w:rsidR="00111EE3" w:rsidRDefault="00111EE3" w:rsidP="006D7E4F">
      <w:r>
        <w:separator/>
      </w:r>
    </w:p>
  </w:footnote>
  <w:footnote w:type="continuationSeparator" w:id="0">
    <w:p w14:paraId="69AFA6DA" w14:textId="77777777" w:rsidR="00111EE3" w:rsidRDefault="00111EE3" w:rsidP="006D7E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E4F"/>
    <w:rsid w:val="00072B05"/>
    <w:rsid w:val="00111EE3"/>
    <w:rsid w:val="00133F4D"/>
    <w:rsid w:val="0032061C"/>
    <w:rsid w:val="0032123E"/>
    <w:rsid w:val="003B029A"/>
    <w:rsid w:val="004F4487"/>
    <w:rsid w:val="00527140"/>
    <w:rsid w:val="00594573"/>
    <w:rsid w:val="006A3410"/>
    <w:rsid w:val="006D7E4F"/>
    <w:rsid w:val="00763108"/>
    <w:rsid w:val="007F125C"/>
    <w:rsid w:val="008E418C"/>
    <w:rsid w:val="00BB558E"/>
    <w:rsid w:val="00BC5344"/>
    <w:rsid w:val="00CF446A"/>
    <w:rsid w:val="00D95026"/>
    <w:rsid w:val="00F06C72"/>
    <w:rsid w:val="00FA3C4B"/>
    <w:rsid w:val="00FB4749"/>
    <w:rsid w:val="00FB565A"/>
    <w:rsid w:val="00FF26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D956FA7"/>
  <w14:defaultImageDpi w14:val="32767"/>
  <w15:chartTrackingRefBased/>
  <w15:docId w15:val="{48F8E63F-7660-2741-A90A-9248B8EF3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6D7E4F"/>
    <w:pPr>
      <w:ind w:right="86"/>
    </w:pPr>
    <w:rPr>
      <w:rFonts w:eastAsia="Times New Roman"/>
    </w:rPr>
  </w:style>
  <w:style w:type="paragraph" w:styleId="Heading1">
    <w:name w:val="heading 1"/>
    <w:basedOn w:val="Normal"/>
    <w:next w:val="Normal"/>
    <w:link w:val="Heading1Char"/>
    <w:uiPriority w:val="9"/>
    <w:qFormat/>
    <w:rsid w:val="006D7E4F"/>
    <w:pPr>
      <w:keepNext/>
      <w:keepLines/>
      <w:spacing w:before="360" w:after="80"/>
      <w:ind w:right="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D7E4F"/>
    <w:pPr>
      <w:keepNext/>
      <w:keepLines/>
      <w:spacing w:before="160" w:after="80"/>
      <w:ind w:right="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D7E4F"/>
    <w:pPr>
      <w:keepNext/>
      <w:keepLines/>
      <w:spacing w:before="160" w:after="80"/>
      <w:ind w:right="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7E4F"/>
    <w:pPr>
      <w:keepNext/>
      <w:keepLines/>
      <w:spacing w:before="80" w:after="40"/>
      <w:ind w:right="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6D7E4F"/>
    <w:pPr>
      <w:keepNext/>
      <w:keepLines/>
      <w:spacing w:before="80" w:after="40"/>
      <w:ind w:right="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6D7E4F"/>
    <w:pPr>
      <w:keepNext/>
      <w:keepLines/>
      <w:spacing w:before="40"/>
      <w:ind w:right="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6D7E4F"/>
    <w:pPr>
      <w:keepNext/>
      <w:keepLines/>
      <w:spacing w:before="40"/>
      <w:ind w:right="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6D7E4F"/>
    <w:pPr>
      <w:keepNext/>
      <w:keepLines/>
      <w:ind w:right="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6D7E4F"/>
    <w:pPr>
      <w:keepNext/>
      <w:keepLines/>
      <w:ind w:right="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7E4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D7E4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7E4F"/>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7E4F"/>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6D7E4F"/>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6D7E4F"/>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6D7E4F"/>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6D7E4F"/>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6D7E4F"/>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6D7E4F"/>
    <w:pPr>
      <w:spacing w:after="80"/>
      <w:ind w:right="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7E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7E4F"/>
    <w:pPr>
      <w:numPr>
        <w:ilvl w:val="1"/>
      </w:numPr>
      <w:spacing w:after="160"/>
      <w:ind w:right="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7E4F"/>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6D7E4F"/>
    <w:pPr>
      <w:spacing w:before="160" w:after="160"/>
      <w:ind w:right="0"/>
      <w:jc w:val="center"/>
    </w:pPr>
    <w:rPr>
      <w:rFonts w:eastAsiaTheme="minorHAnsi"/>
      <w:i/>
      <w:iCs/>
      <w:color w:val="404040" w:themeColor="text1" w:themeTint="BF"/>
    </w:rPr>
  </w:style>
  <w:style w:type="character" w:customStyle="1" w:styleId="QuoteChar">
    <w:name w:val="Quote Char"/>
    <w:basedOn w:val="DefaultParagraphFont"/>
    <w:link w:val="Quote"/>
    <w:uiPriority w:val="29"/>
    <w:rsid w:val="006D7E4F"/>
    <w:rPr>
      <w:i/>
      <w:iCs/>
      <w:color w:val="404040" w:themeColor="text1" w:themeTint="BF"/>
    </w:rPr>
  </w:style>
  <w:style w:type="paragraph" w:styleId="ListParagraph">
    <w:name w:val="List Paragraph"/>
    <w:basedOn w:val="Normal"/>
    <w:uiPriority w:val="34"/>
    <w:qFormat/>
    <w:rsid w:val="006D7E4F"/>
    <w:pPr>
      <w:ind w:left="720" w:right="0"/>
      <w:contextualSpacing/>
    </w:pPr>
    <w:rPr>
      <w:rFonts w:eastAsiaTheme="minorHAnsi"/>
    </w:rPr>
  </w:style>
  <w:style w:type="character" w:styleId="IntenseEmphasis">
    <w:name w:val="Intense Emphasis"/>
    <w:basedOn w:val="DefaultParagraphFont"/>
    <w:uiPriority w:val="21"/>
    <w:qFormat/>
    <w:rsid w:val="006D7E4F"/>
    <w:rPr>
      <w:i/>
      <w:iCs/>
      <w:color w:val="0F4761" w:themeColor="accent1" w:themeShade="BF"/>
    </w:rPr>
  </w:style>
  <w:style w:type="paragraph" w:styleId="IntenseQuote">
    <w:name w:val="Intense Quote"/>
    <w:basedOn w:val="Normal"/>
    <w:next w:val="Normal"/>
    <w:link w:val="IntenseQuoteChar"/>
    <w:uiPriority w:val="30"/>
    <w:qFormat/>
    <w:rsid w:val="006D7E4F"/>
    <w:pPr>
      <w:pBdr>
        <w:top w:val="single" w:sz="4" w:space="10" w:color="0F4761" w:themeColor="accent1" w:themeShade="BF"/>
        <w:bottom w:val="single" w:sz="4" w:space="10" w:color="0F4761" w:themeColor="accent1" w:themeShade="BF"/>
      </w:pBdr>
      <w:spacing w:before="360" w:after="360"/>
      <w:ind w:left="864" w:right="864"/>
      <w:jc w:val="center"/>
    </w:pPr>
    <w:rPr>
      <w:rFonts w:eastAsiaTheme="minorHAnsi"/>
      <w:i/>
      <w:iCs/>
      <w:color w:val="0F4761" w:themeColor="accent1" w:themeShade="BF"/>
    </w:rPr>
  </w:style>
  <w:style w:type="character" w:customStyle="1" w:styleId="IntenseQuoteChar">
    <w:name w:val="Intense Quote Char"/>
    <w:basedOn w:val="DefaultParagraphFont"/>
    <w:link w:val="IntenseQuote"/>
    <w:uiPriority w:val="30"/>
    <w:rsid w:val="006D7E4F"/>
    <w:rPr>
      <w:i/>
      <w:iCs/>
      <w:color w:val="0F4761" w:themeColor="accent1" w:themeShade="BF"/>
    </w:rPr>
  </w:style>
  <w:style w:type="character" w:styleId="IntenseReference">
    <w:name w:val="Intense Reference"/>
    <w:basedOn w:val="DefaultParagraphFont"/>
    <w:uiPriority w:val="32"/>
    <w:qFormat/>
    <w:rsid w:val="006D7E4F"/>
    <w:rPr>
      <w:b/>
      <w:bCs/>
      <w:smallCaps/>
      <w:color w:val="0F4761" w:themeColor="accent1" w:themeShade="BF"/>
      <w:spacing w:val="5"/>
    </w:rPr>
  </w:style>
  <w:style w:type="paragraph" w:styleId="NormalWeb">
    <w:name w:val="Normal (Web)"/>
    <w:basedOn w:val="Normal"/>
    <w:uiPriority w:val="99"/>
    <w:unhideWhenUsed/>
    <w:rsid w:val="006D7E4F"/>
    <w:pPr>
      <w:spacing w:before="100" w:beforeAutospacing="1" w:after="100" w:afterAutospacing="1"/>
    </w:pPr>
  </w:style>
  <w:style w:type="character" w:styleId="Strong">
    <w:name w:val="Strong"/>
    <w:basedOn w:val="DefaultParagraphFont"/>
    <w:uiPriority w:val="22"/>
    <w:qFormat/>
    <w:rsid w:val="006D7E4F"/>
    <w:rPr>
      <w:b/>
      <w:bCs/>
    </w:rPr>
  </w:style>
  <w:style w:type="paragraph" w:customStyle="1" w:styleId="font-claude-response-body">
    <w:name w:val="font-claude-response-body"/>
    <w:basedOn w:val="Normal"/>
    <w:rsid w:val="006D7E4F"/>
    <w:pPr>
      <w:spacing w:before="100" w:beforeAutospacing="1" w:after="100" w:afterAutospacing="1"/>
      <w:ind w:right="0"/>
    </w:pPr>
  </w:style>
  <w:style w:type="character" w:customStyle="1" w:styleId="math-inline">
    <w:name w:val="math-inline"/>
    <w:basedOn w:val="DefaultParagraphFont"/>
    <w:rsid w:val="006D7E4F"/>
  </w:style>
  <w:style w:type="character" w:customStyle="1" w:styleId="t286pc">
    <w:name w:val="t286pc"/>
    <w:basedOn w:val="DefaultParagraphFont"/>
    <w:rsid w:val="006D7E4F"/>
  </w:style>
  <w:style w:type="paragraph" w:styleId="Footer">
    <w:name w:val="footer"/>
    <w:basedOn w:val="Normal"/>
    <w:link w:val="FooterChar"/>
    <w:uiPriority w:val="99"/>
    <w:unhideWhenUsed/>
    <w:rsid w:val="006D7E4F"/>
    <w:pPr>
      <w:tabs>
        <w:tab w:val="center" w:pos="4680"/>
        <w:tab w:val="right" w:pos="9360"/>
      </w:tabs>
    </w:pPr>
  </w:style>
  <w:style w:type="character" w:customStyle="1" w:styleId="FooterChar">
    <w:name w:val="Footer Char"/>
    <w:basedOn w:val="DefaultParagraphFont"/>
    <w:link w:val="Footer"/>
    <w:uiPriority w:val="99"/>
    <w:rsid w:val="006D7E4F"/>
    <w:rPr>
      <w:rFonts w:eastAsia="Times New Roman"/>
    </w:rPr>
  </w:style>
  <w:style w:type="character" w:styleId="PageNumber">
    <w:name w:val="page number"/>
    <w:basedOn w:val="DefaultParagraphFont"/>
    <w:uiPriority w:val="99"/>
    <w:semiHidden/>
    <w:unhideWhenUsed/>
    <w:rsid w:val="006D7E4F"/>
  </w:style>
  <w:style w:type="character" w:customStyle="1" w:styleId="apple-converted-space">
    <w:name w:val="apple-converted-space"/>
    <w:basedOn w:val="DefaultParagraphFont"/>
    <w:rsid w:val="006D7E4F"/>
  </w:style>
  <w:style w:type="character" w:styleId="Emphasis">
    <w:name w:val="Emphasis"/>
    <w:basedOn w:val="DefaultParagraphFont"/>
    <w:uiPriority w:val="20"/>
    <w:qFormat/>
    <w:rsid w:val="006D7E4F"/>
    <w:rPr>
      <w:i/>
      <w:iCs/>
    </w:rPr>
  </w:style>
  <w:style w:type="paragraph" w:customStyle="1" w:styleId="df3vjf">
    <w:name w:val="df3vjf"/>
    <w:basedOn w:val="Normal"/>
    <w:rsid w:val="006D7E4F"/>
    <w:pPr>
      <w:spacing w:before="100" w:beforeAutospacing="1" w:after="100" w:afterAutospacing="1"/>
      <w:ind w:right="0"/>
    </w:pPr>
  </w:style>
  <w:style w:type="character" w:styleId="CommentReference">
    <w:name w:val="annotation reference"/>
    <w:basedOn w:val="DefaultParagraphFont"/>
    <w:uiPriority w:val="99"/>
    <w:semiHidden/>
    <w:unhideWhenUsed/>
    <w:rsid w:val="00CF446A"/>
    <w:rPr>
      <w:sz w:val="16"/>
      <w:szCs w:val="16"/>
    </w:rPr>
  </w:style>
  <w:style w:type="paragraph" w:styleId="CommentText">
    <w:name w:val="annotation text"/>
    <w:basedOn w:val="Normal"/>
    <w:link w:val="CommentTextChar"/>
    <w:uiPriority w:val="99"/>
    <w:semiHidden/>
    <w:unhideWhenUsed/>
    <w:rsid w:val="00CF446A"/>
    <w:rPr>
      <w:sz w:val="20"/>
      <w:szCs w:val="20"/>
    </w:rPr>
  </w:style>
  <w:style w:type="character" w:customStyle="1" w:styleId="CommentTextChar">
    <w:name w:val="Comment Text Char"/>
    <w:basedOn w:val="DefaultParagraphFont"/>
    <w:link w:val="CommentText"/>
    <w:uiPriority w:val="99"/>
    <w:semiHidden/>
    <w:rsid w:val="00CF446A"/>
    <w:rPr>
      <w:rFonts w:eastAsia="Times New Roman"/>
      <w:sz w:val="20"/>
      <w:szCs w:val="20"/>
    </w:rPr>
  </w:style>
  <w:style w:type="paragraph" w:styleId="CommentSubject">
    <w:name w:val="annotation subject"/>
    <w:basedOn w:val="CommentText"/>
    <w:next w:val="CommentText"/>
    <w:link w:val="CommentSubjectChar"/>
    <w:uiPriority w:val="99"/>
    <w:semiHidden/>
    <w:unhideWhenUsed/>
    <w:rsid w:val="00CF446A"/>
    <w:rPr>
      <w:b/>
      <w:bCs/>
    </w:rPr>
  </w:style>
  <w:style w:type="character" w:customStyle="1" w:styleId="CommentSubjectChar">
    <w:name w:val="Comment Subject Char"/>
    <w:basedOn w:val="CommentTextChar"/>
    <w:link w:val="CommentSubject"/>
    <w:uiPriority w:val="99"/>
    <w:semiHidden/>
    <w:rsid w:val="00CF446A"/>
    <w:rPr>
      <w:rFonts w:eastAsia="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nome.gov/sites/default/files/archiespace2024-05/Anti%20Hgp%20Letters%20Compiled.pdf"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pnas.org/doi/10.1073/pnas.1105859108%22%20%5Ct%20%22_blank"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nytimes.com/2010/06/15/business/15genome.html%22%20%5Ct%20%22_blank" TargetMode="External"/><Relationship Id="rId4" Type="http://schemas.openxmlformats.org/officeDocument/2006/relationships/webSettings" Target="webSettings.xml"/><Relationship Id="rId9" Type="http://schemas.openxmlformats.org/officeDocument/2006/relationships/hyperlink" Target="https://www.nytimes.com/2010/06/13/health/research/13genome.html%22%20%5Ct%20%22_blan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870E82-F3FE-0442-AB83-FDFDBD8239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21</Pages>
  <Words>9888</Words>
  <Characters>56367</Characters>
  <Application>Microsoft Office Word</Application>
  <DocSecurity>0</DocSecurity>
  <Lines>469</Lines>
  <Paragraphs>132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66123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DeLisi</dc:creator>
  <cp:keywords/>
  <dc:description/>
  <cp:lastModifiedBy>charles DeLisi</cp:lastModifiedBy>
  <cp:revision>5</cp:revision>
  <dcterms:created xsi:type="dcterms:W3CDTF">2026-03-31T10:25:00Z</dcterms:created>
  <dcterms:modified xsi:type="dcterms:W3CDTF">2026-04-06T15:24:00Z</dcterms:modified>
  <cp:category/>
</cp:coreProperties>
</file>